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8ED2F" w14:textId="77777777" w:rsidR="00E05A5A" w:rsidRDefault="00E05A5A" w:rsidP="00E05A5A">
      <w:pPr>
        <w:jc w:val="right"/>
      </w:pPr>
      <w:r>
        <w:t xml:space="preserve">Załącznik nr </w:t>
      </w:r>
      <w:r w:rsidR="004A4C00">
        <w:t>1</w:t>
      </w:r>
      <w:r>
        <w:t xml:space="preserve"> do SIWZ</w:t>
      </w:r>
    </w:p>
    <w:p w14:paraId="604FF72B" w14:textId="4FBD50E3" w:rsidR="00E05A5A" w:rsidRDefault="006B4844" w:rsidP="00E05A5A">
      <w:r>
        <w:t xml:space="preserve">    </w:t>
      </w:r>
    </w:p>
    <w:p w14:paraId="41ED7171" w14:textId="094FAA59" w:rsidR="00E05A5A" w:rsidRPr="00667694" w:rsidRDefault="00E05A5A" w:rsidP="00667694">
      <w:pPr>
        <w:jc w:val="center"/>
        <w:rPr>
          <w:b/>
          <w:sz w:val="32"/>
        </w:rPr>
      </w:pPr>
      <w:r w:rsidRPr="00667694">
        <w:rPr>
          <w:b/>
          <w:sz w:val="32"/>
        </w:rPr>
        <w:t>O</w:t>
      </w:r>
      <w:r w:rsidR="004A4C00" w:rsidRPr="00667694">
        <w:rPr>
          <w:b/>
          <w:sz w:val="32"/>
        </w:rPr>
        <w:t>PIS PRZEDMIOTU ZAM</w:t>
      </w:r>
      <w:r w:rsidR="007E2ABD" w:rsidRPr="00667694">
        <w:rPr>
          <w:b/>
          <w:sz w:val="32"/>
        </w:rPr>
        <w:t>Ó</w:t>
      </w:r>
      <w:r w:rsidR="004A4C00" w:rsidRPr="00667694">
        <w:rPr>
          <w:b/>
          <w:sz w:val="32"/>
        </w:rPr>
        <w:t>WIENIA</w:t>
      </w:r>
    </w:p>
    <w:p w14:paraId="76B65B5D" w14:textId="77777777" w:rsidR="000F03D8" w:rsidRDefault="000F03D8" w:rsidP="00E05A5A"/>
    <w:p w14:paraId="10C3810C" w14:textId="0385040E" w:rsidR="00F2135C" w:rsidRPr="00F2135C" w:rsidRDefault="00F2135C" w:rsidP="00CB0961">
      <w:pPr>
        <w:pStyle w:val="Akapitzlist"/>
        <w:ind w:left="0"/>
        <w:rPr>
          <w:b/>
        </w:rPr>
      </w:pPr>
      <w:r w:rsidRPr="00F2135C">
        <w:rPr>
          <w:b/>
        </w:rPr>
        <w:t>Ekspertyza dotycząca opracowania założeń projektowych i scenariuszy testów operacyjnych mających na celu sprawdzenie części ETCS i GSM-R podsystemu „Sterowanie-urządzenia przytorowe” i jej współdziałanie z odpowiadającą częścią podsystemu „Sterowanie-urządzenie pokładowe”</w:t>
      </w:r>
      <w:r w:rsidRPr="00DB4337">
        <w:rPr>
          <w:b/>
        </w:rPr>
        <w:t>.</w:t>
      </w:r>
      <w:r w:rsidRPr="00F2135C">
        <w:rPr>
          <w:b/>
        </w:rPr>
        <w:t xml:space="preserve"> </w:t>
      </w:r>
    </w:p>
    <w:p w14:paraId="0F3A3BC8" w14:textId="77777777" w:rsidR="00F2135C" w:rsidRPr="00B05B9D" w:rsidRDefault="00F2135C" w:rsidP="00F2135C">
      <w:pPr>
        <w:pStyle w:val="Akapitzlist"/>
        <w:ind w:left="360"/>
      </w:pPr>
    </w:p>
    <w:p w14:paraId="04E8FB0F" w14:textId="5EAF5B33" w:rsidR="00BF2F86" w:rsidRPr="00B05B9D" w:rsidRDefault="00BF2F86" w:rsidP="00DB4337">
      <w:pPr>
        <w:pStyle w:val="Akapitzlist"/>
        <w:numPr>
          <w:ilvl w:val="0"/>
          <w:numId w:val="29"/>
        </w:numPr>
        <w:spacing w:after="120" w:line="240" w:lineRule="auto"/>
        <w:contextualSpacing w:val="0"/>
      </w:pPr>
      <w:r w:rsidRPr="00B05B9D">
        <w:t>Przedmiotem zamówienia jest</w:t>
      </w:r>
      <w:r w:rsidR="00DB4337" w:rsidRPr="00B05B9D">
        <w:t xml:space="preserve"> </w:t>
      </w:r>
      <w:r w:rsidR="00162666" w:rsidRPr="00B05B9D">
        <w:t>sporządzenie</w:t>
      </w:r>
      <w:r w:rsidRPr="00B05B9D">
        <w:t xml:space="preserve"> ekspertyz</w:t>
      </w:r>
      <w:r w:rsidR="00162666" w:rsidRPr="00B05B9D">
        <w:t>y</w:t>
      </w:r>
      <w:r w:rsidRPr="00B05B9D">
        <w:t xml:space="preserve"> dotycząc</w:t>
      </w:r>
      <w:r w:rsidR="00162666" w:rsidRPr="00B05B9D">
        <w:t>ej</w:t>
      </w:r>
      <w:r w:rsidRPr="00B05B9D">
        <w:t xml:space="preserve"> opracowania założeń projektowych </w:t>
      </w:r>
      <w:r w:rsidR="0099758B" w:rsidRPr="00B05B9D">
        <w:br/>
      </w:r>
      <w:r w:rsidRPr="00B05B9D">
        <w:t>i scenariuszy testów operacyjnych mających na celu sprawdzenie części ETCS i GSM-R podsystemu „Sterowanie-urządzenia przytorowe” i jej współdziałanie z odpowiadającą częścią podsystemu „Sterowanie-urządzenie pokładowe”</w:t>
      </w:r>
      <w:r w:rsidR="00DB4337" w:rsidRPr="00B05B9D">
        <w:t>, uwzględniającej uwagi zgłoszone w ramach publicznych konsultacji jej projektu.</w:t>
      </w:r>
    </w:p>
    <w:p w14:paraId="68BC5FE1" w14:textId="180961D7" w:rsidR="00BF2F86" w:rsidRPr="00F2135C" w:rsidRDefault="00BF2F86" w:rsidP="00E742C0">
      <w:pPr>
        <w:pStyle w:val="Akapitzlist"/>
        <w:numPr>
          <w:ilvl w:val="0"/>
          <w:numId w:val="29"/>
        </w:numPr>
        <w:spacing w:after="120" w:line="240" w:lineRule="auto"/>
        <w:contextualSpacing w:val="0"/>
      </w:pPr>
      <w:r w:rsidRPr="00F2135C">
        <w:t>Ekspertyza powinna być w szczególności</w:t>
      </w:r>
      <w:r w:rsidR="002E2BE8">
        <w:t>:</w:t>
      </w:r>
    </w:p>
    <w:p w14:paraId="22BD20D7" w14:textId="298556A4" w:rsidR="0010505D" w:rsidRDefault="00BF2F86" w:rsidP="00E742C0">
      <w:pPr>
        <w:widowControl/>
        <w:numPr>
          <w:ilvl w:val="0"/>
          <w:numId w:val="34"/>
        </w:numPr>
        <w:spacing w:after="120" w:line="240" w:lineRule="auto"/>
        <w:ind w:left="924" w:hanging="357"/>
      </w:pPr>
      <w:r w:rsidRPr="00F2135C">
        <w:t>Zgodna ze specyfikacjami przywołanymi w</w:t>
      </w:r>
      <w:r w:rsidR="0010505D">
        <w:t xml:space="preserve"> Rozporządzeniu Komisji (UE) 2016/919 z dnia 27 maja 2016 r. w sprawie technicznej specyfikacji interoperacyjności w zakresie podsystemów „Sterowanie” systemu kolei w Unii Europejskiej (Dz. Urz. UE L 158 z 15.06</w:t>
      </w:r>
      <w:r w:rsidR="00DB4337">
        <w:t>.</w:t>
      </w:r>
      <w:r w:rsidR="0010505D">
        <w:t>2016 r., str. 1), zwanego dalej: „Rozporządzeniem 2016/919” oraz (w odpowiednim przypadku) w Decyzji Komisji 2012/88/UE z dnia 25 stycznia 2012 r. w sprawie technicznej specyfikacji interoperacyjności w zakresie podsystemów „Sterowanie” transeuropejskiego systemu kolei (Dz. Urz. UE L 51 z 23.2.2012 r., str. 1</w:t>
      </w:r>
      <w:r w:rsidR="00DE311D">
        <w:t xml:space="preserve">, z </w:t>
      </w:r>
      <w:proofErr w:type="spellStart"/>
      <w:r w:rsidR="00DE311D">
        <w:t>późn</w:t>
      </w:r>
      <w:proofErr w:type="spellEnd"/>
      <w:r w:rsidR="00DE311D">
        <w:t>. zm.</w:t>
      </w:r>
      <w:r w:rsidR="0010505D">
        <w:t>)</w:t>
      </w:r>
      <w:r w:rsidR="00DE311D">
        <w:t>,</w:t>
      </w:r>
      <w:r w:rsidR="00DE311D" w:rsidRPr="00DE311D">
        <w:t xml:space="preserve"> </w:t>
      </w:r>
      <w:r w:rsidR="00DE311D">
        <w:t>zwanej dalej: „Decyzją 2012/88/UE”,</w:t>
      </w:r>
      <w:r w:rsidR="0010505D">
        <w:t xml:space="preserve"> w brzmieniu nadanym Decyzją Komisji (UE) 2015/14 z dnia</w:t>
      </w:r>
      <w:r w:rsidR="00DE311D">
        <w:br/>
      </w:r>
      <w:r w:rsidR="0010505D">
        <w:t>5 stycznia 2015 r. zmieniającą decyzję 2012/88/UE w sprawie technicznej specyfikacji interoperacyjności w zakresie podsystemów „Sterowanie” transeuropejskiego systemu kolei</w:t>
      </w:r>
      <w:r w:rsidR="00DE311D">
        <w:br/>
      </w:r>
      <w:r w:rsidR="0010505D">
        <w:t>(Dz. Urz. L 3 z 7.1.2015, str</w:t>
      </w:r>
      <w:r w:rsidR="00DE311D">
        <w:t xml:space="preserve">. 44), zwanej dalej: „Decyzją </w:t>
      </w:r>
      <w:r w:rsidR="00E742C0">
        <w:t>2015/14</w:t>
      </w:r>
      <w:r w:rsidR="00DE311D">
        <w:t>”,</w:t>
      </w:r>
    </w:p>
    <w:p w14:paraId="14387C75" w14:textId="6F1B74BC" w:rsidR="00BF2F86" w:rsidRPr="00F2135C" w:rsidRDefault="00BF2F86" w:rsidP="00E742C0">
      <w:pPr>
        <w:widowControl/>
        <w:numPr>
          <w:ilvl w:val="0"/>
          <w:numId w:val="34"/>
        </w:numPr>
        <w:spacing w:after="120" w:line="240" w:lineRule="auto"/>
        <w:ind w:left="924" w:hanging="357"/>
      </w:pPr>
      <w:r w:rsidRPr="00F2135C">
        <w:t xml:space="preserve">Zakładać, że funkcje, interfejsy i parametry eksploatacyjne podsystemów „Sterowanie–urządzenia pokładowe” wchodzących w interakcję z podsystemem „Sterowanie–urządzenia przytorowe” </w:t>
      </w:r>
      <w:r>
        <w:br/>
      </w:r>
      <w:r w:rsidRPr="00F2135C">
        <w:t xml:space="preserve">są zgodne z wymaganiami Rozporządzenia 2016/919 (lub odpowiednio Decyzji </w:t>
      </w:r>
      <w:r w:rsidR="00177B17" w:rsidRPr="00E84404">
        <w:t>2012/88/UE</w:t>
      </w:r>
      <w:r w:rsidR="00E742C0">
        <w:t xml:space="preserve"> w brzmieniu nadanym Decyzją 2015/14</w:t>
      </w:r>
      <w:r w:rsidRPr="00F2135C">
        <w:t>),</w:t>
      </w:r>
    </w:p>
    <w:p w14:paraId="560B4F2C" w14:textId="3FDFBA5C" w:rsidR="00BF2F86" w:rsidRPr="00F2135C" w:rsidRDefault="00BF2F86" w:rsidP="00E742C0">
      <w:pPr>
        <w:widowControl/>
        <w:numPr>
          <w:ilvl w:val="0"/>
          <w:numId w:val="34"/>
        </w:numPr>
        <w:spacing w:after="120" w:line="240" w:lineRule="auto"/>
        <w:ind w:left="924" w:hanging="357"/>
      </w:pPr>
      <w:r w:rsidRPr="00F2135C">
        <w:t xml:space="preserve">Nadawać się do stosowania przy weryfikacji WE podsystemu „Sterowanie – urządzenia przytorowe”, aby sprawdzić, czy wdrożone funkcje, interfejsy i parametry eksploatacyjne są w stanie zapewnić przestrzeganie zakładanego sposobu działania systemu w połączeniu ze stosownymi trybami </w:t>
      </w:r>
      <w:r>
        <w:br/>
      </w:r>
      <w:r w:rsidRPr="00F2135C">
        <w:t>i przejściami między poziomami i trybami podsystemów „Sterowanie – urządzenia pokładowe”</w:t>
      </w:r>
      <w:r w:rsidR="00177B17">
        <w:t>,</w:t>
      </w:r>
    </w:p>
    <w:p w14:paraId="0AE92D72" w14:textId="77777777" w:rsidR="00BF2F86" w:rsidRPr="00F2135C" w:rsidRDefault="00BF2F86" w:rsidP="00E742C0">
      <w:pPr>
        <w:widowControl/>
        <w:numPr>
          <w:ilvl w:val="0"/>
          <w:numId w:val="34"/>
        </w:numPr>
        <w:spacing w:after="120" w:line="240" w:lineRule="auto"/>
        <w:ind w:left="924" w:hanging="357"/>
      </w:pPr>
      <w:r w:rsidRPr="00F2135C">
        <w:t xml:space="preserve">Ekspertyza musi obejmować przynajmniej: </w:t>
      </w:r>
    </w:p>
    <w:p w14:paraId="2E811574" w14:textId="77777777" w:rsidR="00BF2F86" w:rsidRPr="00F2135C" w:rsidRDefault="00BF2F86" w:rsidP="00E742C0">
      <w:pPr>
        <w:widowControl/>
        <w:numPr>
          <w:ilvl w:val="0"/>
          <w:numId w:val="35"/>
        </w:numPr>
        <w:spacing w:after="120" w:line="240" w:lineRule="auto"/>
        <w:ind w:left="1633" w:hanging="357"/>
        <w:contextualSpacing/>
      </w:pPr>
      <w:r w:rsidRPr="00F2135C">
        <w:t xml:space="preserve">początek jazdy, </w:t>
      </w:r>
    </w:p>
    <w:p w14:paraId="2920CEF8" w14:textId="77777777" w:rsidR="00BF2F86" w:rsidRPr="00F2135C" w:rsidRDefault="00BF2F86" w:rsidP="00E742C0">
      <w:pPr>
        <w:widowControl/>
        <w:numPr>
          <w:ilvl w:val="0"/>
          <w:numId w:val="35"/>
        </w:numPr>
        <w:spacing w:after="120" w:line="240" w:lineRule="auto"/>
        <w:ind w:left="1633" w:hanging="357"/>
        <w:contextualSpacing/>
      </w:pPr>
      <w:r w:rsidRPr="00F2135C">
        <w:t xml:space="preserve">przejścia pomiędzy poziomami, </w:t>
      </w:r>
    </w:p>
    <w:p w14:paraId="6AB0D309" w14:textId="77777777" w:rsidR="00BF2F86" w:rsidRPr="00F2135C" w:rsidRDefault="00BF2F86" w:rsidP="00E742C0">
      <w:pPr>
        <w:widowControl/>
        <w:numPr>
          <w:ilvl w:val="0"/>
          <w:numId w:val="35"/>
        </w:numPr>
        <w:spacing w:after="120" w:line="240" w:lineRule="auto"/>
        <w:ind w:left="1633" w:hanging="357"/>
        <w:contextualSpacing/>
      </w:pPr>
      <w:r w:rsidRPr="00F2135C">
        <w:t xml:space="preserve">przejścia pomiędzy dozwolonymi na danej linii trybami pracy, </w:t>
      </w:r>
    </w:p>
    <w:p w14:paraId="1C9D0366" w14:textId="77777777" w:rsidR="00BF2F86" w:rsidRPr="00F2135C" w:rsidRDefault="00BF2F86" w:rsidP="00E742C0">
      <w:pPr>
        <w:widowControl/>
        <w:numPr>
          <w:ilvl w:val="0"/>
          <w:numId w:val="35"/>
        </w:numPr>
        <w:spacing w:after="120" w:line="240" w:lineRule="auto"/>
        <w:ind w:left="1633" w:hanging="357"/>
        <w:contextualSpacing/>
      </w:pPr>
      <w:r w:rsidRPr="00F2135C">
        <w:t xml:space="preserve">najważniejsze zidentyfikowane sytuacje awaryjne, </w:t>
      </w:r>
    </w:p>
    <w:p w14:paraId="4E980E96" w14:textId="77777777" w:rsidR="00BF2F86" w:rsidRPr="00F2135C" w:rsidRDefault="00BF2F86" w:rsidP="00E742C0">
      <w:pPr>
        <w:widowControl/>
        <w:numPr>
          <w:ilvl w:val="0"/>
          <w:numId w:val="35"/>
        </w:numPr>
        <w:spacing w:after="120" w:line="240" w:lineRule="auto"/>
        <w:ind w:left="1633" w:hanging="357"/>
        <w:contextualSpacing/>
      </w:pPr>
      <w:r w:rsidRPr="00F2135C">
        <w:t xml:space="preserve">przesyłanie komunikatów alarmowych oraz </w:t>
      </w:r>
    </w:p>
    <w:p w14:paraId="3A74629D" w14:textId="166A1312" w:rsidR="00BF2F86" w:rsidRPr="00F2135C" w:rsidRDefault="00BF2F86" w:rsidP="00E742C0">
      <w:pPr>
        <w:widowControl/>
        <w:numPr>
          <w:ilvl w:val="0"/>
          <w:numId w:val="35"/>
        </w:numPr>
        <w:spacing w:after="120" w:line="240" w:lineRule="auto"/>
        <w:ind w:left="1633" w:hanging="357"/>
        <w:contextualSpacing/>
      </w:pPr>
      <w:r w:rsidRPr="00F2135C">
        <w:t>wszelkie inne istotne aspekty właściwe dla danej linii</w:t>
      </w:r>
      <w:r w:rsidR="00177B17">
        <w:t>,</w:t>
      </w:r>
    </w:p>
    <w:p w14:paraId="1DF7FDE0" w14:textId="77777777" w:rsidR="00BF2F86" w:rsidRPr="00F2135C" w:rsidRDefault="00BF2F86" w:rsidP="00E742C0">
      <w:pPr>
        <w:widowControl/>
        <w:numPr>
          <w:ilvl w:val="0"/>
          <w:numId w:val="35"/>
        </w:numPr>
        <w:spacing w:after="120" w:line="240" w:lineRule="auto"/>
        <w:ind w:left="1633" w:hanging="357"/>
        <w:contextualSpacing/>
      </w:pPr>
      <w:r w:rsidRPr="00F2135C">
        <w:t xml:space="preserve">różne warianty wdrożenia ERTMS, np. poziom 1, poziom 1 z uaktualnieniem, poziom 1 Limited </w:t>
      </w:r>
      <w:proofErr w:type="spellStart"/>
      <w:r w:rsidRPr="00F2135C">
        <w:t>Supervision</w:t>
      </w:r>
      <w:proofErr w:type="spellEnd"/>
      <w:r w:rsidRPr="00F2135C">
        <w:t>, poziom 2.</w:t>
      </w:r>
    </w:p>
    <w:p w14:paraId="4DD32FE0" w14:textId="7E6A5B79" w:rsidR="00BF2F86" w:rsidRPr="00F2135C" w:rsidRDefault="00BF2F86" w:rsidP="00E742C0">
      <w:pPr>
        <w:pStyle w:val="Nagwek1"/>
        <w:spacing w:line="240" w:lineRule="auto"/>
        <w:rPr>
          <w:b w:val="0"/>
          <w:szCs w:val="22"/>
        </w:rPr>
      </w:pPr>
      <w:r w:rsidRPr="00F2135C">
        <w:rPr>
          <w:b w:val="0"/>
          <w:szCs w:val="22"/>
        </w:rPr>
        <w:t>Przygotowana ekspertyza powinna obejmować odrębne scenariusze testów operacyjnych oraz założenia projektowe dla:</w:t>
      </w:r>
    </w:p>
    <w:p w14:paraId="39E07260" w14:textId="77777777" w:rsidR="00BF2F86" w:rsidRPr="00F2135C" w:rsidRDefault="00BF2F86" w:rsidP="00E742C0">
      <w:pPr>
        <w:widowControl/>
        <w:numPr>
          <w:ilvl w:val="0"/>
          <w:numId w:val="36"/>
        </w:numPr>
        <w:spacing w:after="120" w:line="240" w:lineRule="auto"/>
      </w:pPr>
      <w:r w:rsidRPr="00F2135C">
        <w:t>Zestawu specyfikacji wskazanej w tabeli A 2.1 Załącznika A do Rozporządzenia 2016/919.</w:t>
      </w:r>
    </w:p>
    <w:p w14:paraId="7290AA15" w14:textId="77777777" w:rsidR="00BF2F86" w:rsidRPr="00F2135C" w:rsidRDefault="00BF2F86" w:rsidP="00E742C0">
      <w:pPr>
        <w:widowControl/>
        <w:numPr>
          <w:ilvl w:val="0"/>
          <w:numId w:val="36"/>
        </w:numPr>
        <w:spacing w:after="120" w:line="240" w:lineRule="auto"/>
      </w:pPr>
      <w:r w:rsidRPr="00F2135C">
        <w:lastRenderedPageBreak/>
        <w:t>Zestawu specyfikacji wskazanej w tabeli A 2.2 Załącznika A do Rozporządzenia 2016/919.</w:t>
      </w:r>
    </w:p>
    <w:p w14:paraId="32D9E655" w14:textId="77777777" w:rsidR="00BF2F86" w:rsidRPr="00F2135C" w:rsidRDefault="00BF2F86" w:rsidP="00E742C0">
      <w:pPr>
        <w:widowControl/>
        <w:numPr>
          <w:ilvl w:val="0"/>
          <w:numId w:val="36"/>
        </w:numPr>
        <w:spacing w:after="120" w:line="240" w:lineRule="auto"/>
      </w:pPr>
      <w:r w:rsidRPr="00F2135C">
        <w:t>Zestawu specyfikacji wskazanej w tabeli A 2.3 Załącznika A do Rozporządzenie 2016/919.</w:t>
      </w:r>
    </w:p>
    <w:p w14:paraId="6C662AB6" w14:textId="49675708" w:rsidR="00BF2F86" w:rsidRPr="00F2135C" w:rsidRDefault="00BF2F86" w:rsidP="00E742C0">
      <w:pPr>
        <w:widowControl/>
        <w:numPr>
          <w:ilvl w:val="0"/>
          <w:numId w:val="36"/>
        </w:numPr>
        <w:spacing w:after="120" w:line="240" w:lineRule="auto"/>
        <w:rPr>
          <w:sz w:val="24"/>
        </w:rPr>
      </w:pPr>
      <w:r w:rsidRPr="00F2135C">
        <w:t>Zestawu specyfikacji wskazanych w tabeli A2 pod pozycją „Zestaw specyfikacji nr 2”</w:t>
      </w:r>
      <w:r w:rsidRPr="00F2135C">
        <w:br/>
        <w:t>w</w:t>
      </w:r>
      <w:r w:rsidR="00DE311D">
        <w:t xml:space="preserve"> Decyzji 2012/88/UE w</w:t>
      </w:r>
      <w:r w:rsidRPr="00F2135C">
        <w:t xml:space="preserve"> brzmieniu nadanym Decyzją 2015/14.</w:t>
      </w:r>
    </w:p>
    <w:p w14:paraId="5F623310" w14:textId="519437B9" w:rsidR="00BF2F86" w:rsidRDefault="00BF2F86" w:rsidP="00E742C0">
      <w:pPr>
        <w:pStyle w:val="Akapitzlist"/>
        <w:numPr>
          <w:ilvl w:val="0"/>
          <w:numId w:val="29"/>
        </w:numPr>
        <w:spacing w:after="120" w:line="240" w:lineRule="auto"/>
        <w:contextualSpacing w:val="0"/>
      </w:pPr>
      <w:r w:rsidRPr="00F2135C">
        <w:t>Opracowana ekspertyza musi być w pełni spójna z wymaganiami wskazanymi w pkt 6.1.2. Rozporządzenia 2016/919 (lub odpowiednio Decyzji</w:t>
      </w:r>
      <w:r w:rsidR="00DE311D">
        <w:t xml:space="preserve"> </w:t>
      </w:r>
      <w:r w:rsidR="00177B17">
        <w:t>2012/88/UE</w:t>
      </w:r>
      <w:r w:rsidRPr="00F2135C">
        <w:t>), tj. stanowić op</w:t>
      </w:r>
      <w:r w:rsidR="00DE311D">
        <w:t>racowane założenia projektowe i </w:t>
      </w:r>
      <w:r w:rsidRPr="00F2135C">
        <w:t>scenariusze testów operacyjnych, przez które rozumieć należy opis zakładanego sposobu działania systemu kolei w sytuacjach istotnych z punktu wid</w:t>
      </w:r>
      <w:r w:rsidR="00DE311D">
        <w:t>zenia systemu ETCS i GSM-R (np. </w:t>
      </w:r>
      <w:r w:rsidR="00B05B9D">
        <w:t>wjazd pociągu na </w:t>
      </w:r>
      <w:r w:rsidRPr="00F2135C">
        <w:t>obszar wyposażony, aktywacja pociągu, przejechanie sygnału „stój”) za pomo</w:t>
      </w:r>
      <w:r w:rsidR="00DE311D">
        <w:t>cą serii zdarzeń przytorowych i </w:t>
      </w:r>
      <w:r w:rsidRPr="00F2135C">
        <w:t>pokładowych związanych z podsystemami „Sterowanie”, lub mającyc</w:t>
      </w:r>
      <w:r w:rsidR="00DE311D">
        <w:t>h na nie wpływ</w:t>
      </w:r>
      <w:r w:rsidR="00B05B9D">
        <w:br/>
      </w:r>
      <w:r w:rsidR="00DE311D">
        <w:t>(np. wysyłanie i </w:t>
      </w:r>
      <w:r w:rsidRPr="00F2135C">
        <w:t>odbieranie komunikatów, przekroczenie ograniczenia prędkości, działania operatorów systemu) oraz określonego czasu między nimi.</w:t>
      </w:r>
    </w:p>
    <w:p w14:paraId="4F08E866" w14:textId="14680512" w:rsidR="00BF2F86" w:rsidRPr="00B05B9D" w:rsidRDefault="00BF2F86" w:rsidP="00E742C0">
      <w:pPr>
        <w:pStyle w:val="Akapitzlist"/>
        <w:numPr>
          <w:ilvl w:val="0"/>
          <w:numId w:val="29"/>
        </w:numPr>
        <w:spacing w:after="120" w:line="240" w:lineRule="auto"/>
        <w:contextualSpacing w:val="0"/>
      </w:pPr>
      <w:r>
        <w:t xml:space="preserve">Obligatoryjnym wymogiem realizacji zamówienia jest bezwzględne stosowanie wymogów wskazanych </w:t>
      </w:r>
      <w:r>
        <w:br/>
      </w:r>
      <w:r w:rsidRPr="00B05B9D">
        <w:t xml:space="preserve">w </w:t>
      </w:r>
      <w:r w:rsidR="0010505D" w:rsidRPr="00B05B9D">
        <w:t xml:space="preserve">Decyzji 2015/14. </w:t>
      </w:r>
    </w:p>
    <w:p w14:paraId="35747051" w14:textId="1D0CF4BF" w:rsidR="00280F2B" w:rsidRPr="00B05B9D" w:rsidRDefault="00280F2B" w:rsidP="00372636">
      <w:pPr>
        <w:pStyle w:val="Akapitzlist"/>
        <w:numPr>
          <w:ilvl w:val="0"/>
          <w:numId w:val="29"/>
        </w:numPr>
        <w:spacing w:after="120" w:line="240" w:lineRule="auto"/>
        <w:ind w:left="357" w:hanging="357"/>
        <w:contextualSpacing w:val="0"/>
      </w:pPr>
      <w:r w:rsidRPr="00B05B9D">
        <w:t>Wykonawca jest</w:t>
      </w:r>
      <w:r w:rsidR="00372636" w:rsidRPr="00B05B9D">
        <w:t xml:space="preserve"> zobowiązany złożyć w terminie 14</w:t>
      </w:r>
      <w:r w:rsidRPr="00B05B9D">
        <w:t xml:space="preserve"> dni roboczych od podpisania umowy, ustrukturyzowany plan, przedstawiający ogólny zakres tematyczny ekspertyzy, proponowane źródła bibliograficzne, sformułowany w sposób umożliwiający ocenę rozpoznania zagadnienia przez Wyko</w:t>
      </w:r>
      <w:r w:rsidR="00372636" w:rsidRPr="00B05B9D">
        <w:t xml:space="preserve">nawcę. Zamawiający </w:t>
      </w:r>
      <w:r w:rsidR="00372636" w:rsidRPr="00B05B9D">
        <w:br/>
        <w:t>w terminie 5</w:t>
      </w:r>
      <w:r w:rsidRPr="00B05B9D">
        <w:t xml:space="preserve"> dni roboczych zaakceptuje plan lub prześle Wykonawcy uwagi do planu.</w:t>
      </w:r>
      <w:r w:rsidR="00985639" w:rsidRPr="00B05B9D">
        <w:t xml:space="preserve"> Wykonawca ma obowiązek naniesienia uwag zamawiającego w terminie 3 dni roboczych.</w:t>
      </w:r>
    </w:p>
    <w:p w14:paraId="0A0F622F" w14:textId="6B69F0E1" w:rsidR="00251F94" w:rsidRPr="00B05B9D" w:rsidRDefault="00251F94" w:rsidP="00280F2B">
      <w:pPr>
        <w:pStyle w:val="Akapitzlist"/>
        <w:numPr>
          <w:ilvl w:val="0"/>
          <w:numId w:val="29"/>
        </w:numPr>
        <w:spacing w:after="120" w:line="240" w:lineRule="auto"/>
        <w:contextualSpacing w:val="0"/>
      </w:pPr>
      <w:r w:rsidRPr="00B05B9D">
        <w:t xml:space="preserve">Pierwszy etap realizacji zamówienia obejmuje sporządzenie </w:t>
      </w:r>
      <w:r w:rsidR="00DB4337" w:rsidRPr="00B05B9D">
        <w:t xml:space="preserve">projektu </w:t>
      </w:r>
      <w:r w:rsidR="004F6240" w:rsidRPr="00B05B9D">
        <w:t>ekspertyzy</w:t>
      </w:r>
      <w:r w:rsidR="00EF57B2" w:rsidRPr="00B05B9D">
        <w:t xml:space="preserve"> i przedstawienie </w:t>
      </w:r>
      <w:r w:rsidR="00AC59AE" w:rsidRPr="00B05B9D">
        <w:br/>
      </w:r>
      <w:r w:rsidR="00EF57B2" w:rsidRPr="00B05B9D">
        <w:t>go Zamawiającemu do akceptacji</w:t>
      </w:r>
      <w:r w:rsidR="004F6240" w:rsidRPr="00B05B9D">
        <w:t xml:space="preserve">. Zaakceptowany przez Zamawiającego projekt zostaje </w:t>
      </w:r>
      <w:r w:rsidR="00DB4337" w:rsidRPr="00B05B9D">
        <w:t>skierowany</w:t>
      </w:r>
      <w:r w:rsidRPr="00B05B9D">
        <w:t xml:space="preserve"> </w:t>
      </w:r>
      <w:r w:rsidR="00AC59AE" w:rsidRPr="00B05B9D">
        <w:br/>
      </w:r>
      <w:r w:rsidRPr="00B05B9D">
        <w:t xml:space="preserve">do konsultacji </w:t>
      </w:r>
      <w:r w:rsidR="00DB4337" w:rsidRPr="00B05B9D">
        <w:t>publicznych organizowanych</w:t>
      </w:r>
      <w:r w:rsidRPr="00B05B9D">
        <w:t xml:space="preserve"> przez Zamawiającego. </w:t>
      </w:r>
    </w:p>
    <w:p w14:paraId="098BCC58" w14:textId="6353AFBD" w:rsidR="00251F94" w:rsidRPr="00B05B9D" w:rsidRDefault="00251F94" w:rsidP="00E742C0">
      <w:pPr>
        <w:pStyle w:val="Akapitzlist"/>
        <w:numPr>
          <w:ilvl w:val="0"/>
          <w:numId w:val="29"/>
        </w:numPr>
        <w:spacing w:after="120" w:line="240" w:lineRule="auto"/>
        <w:contextualSpacing w:val="0"/>
      </w:pPr>
      <w:r w:rsidRPr="00B05B9D">
        <w:t xml:space="preserve">Udział </w:t>
      </w:r>
      <w:r w:rsidR="00B44520" w:rsidRPr="00B05B9D">
        <w:t xml:space="preserve">Wykonawcy </w:t>
      </w:r>
      <w:r w:rsidRPr="00B05B9D">
        <w:t xml:space="preserve">w konsultacjach </w:t>
      </w:r>
      <w:r w:rsidR="00EF57B2" w:rsidRPr="00B05B9D">
        <w:t>publicznych</w:t>
      </w:r>
      <w:r w:rsidRPr="00B05B9D">
        <w:t xml:space="preserve"> projektu ekspertyzy obejmuje w szczególności pomoc ekspercką przy analizie uwag zgłoszonych do projektu</w:t>
      </w:r>
      <w:r w:rsidR="00EF57B2" w:rsidRPr="00B05B9D">
        <w:t xml:space="preserve"> ekspertyzy</w:t>
      </w:r>
      <w:r w:rsidRPr="00B05B9D">
        <w:t>.</w:t>
      </w:r>
    </w:p>
    <w:p w14:paraId="609F7BD4" w14:textId="5BD5D0AD" w:rsidR="00B44520" w:rsidRPr="00B05B9D" w:rsidRDefault="00251F94" w:rsidP="00E742C0">
      <w:pPr>
        <w:pStyle w:val="Akapitzlist"/>
        <w:numPr>
          <w:ilvl w:val="0"/>
          <w:numId w:val="29"/>
        </w:numPr>
        <w:spacing w:after="120" w:line="240" w:lineRule="auto"/>
        <w:contextualSpacing w:val="0"/>
      </w:pPr>
      <w:r w:rsidRPr="00B05B9D">
        <w:t>Niezależnie od etapu</w:t>
      </w:r>
      <w:r w:rsidR="00280B77" w:rsidRPr="00B05B9D">
        <w:t xml:space="preserve"> realizacji zamówienia</w:t>
      </w:r>
      <w:r w:rsidR="00A3172A" w:rsidRPr="00B05B9D">
        <w:t xml:space="preserve">, </w:t>
      </w:r>
      <w:r w:rsidR="00B44520" w:rsidRPr="00B05B9D">
        <w:t>realizacja zamó</w:t>
      </w:r>
      <w:r w:rsidR="00A3172A" w:rsidRPr="00B05B9D">
        <w:t>wienia</w:t>
      </w:r>
      <w:r w:rsidR="00B44520" w:rsidRPr="00B05B9D">
        <w:t xml:space="preserve"> obejmuje </w:t>
      </w:r>
      <w:r w:rsidR="00A3172A" w:rsidRPr="00B05B9D">
        <w:t xml:space="preserve">pomoc ekspercką i </w:t>
      </w:r>
      <w:r w:rsidR="004F6240" w:rsidRPr="00B05B9D">
        <w:t>analizę uwag</w:t>
      </w:r>
      <w:r w:rsidR="00280B77" w:rsidRPr="00B05B9D">
        <w:t xml:space="preserve"> </w:t>
      </w:r>
      <w:r w:rsidR="00A3172A" w:rsidRPr="00B05B9D">
        <w:t xml:space="preserve">zgłoszonych przez </w:t>
      </w:r>
      <w:r w:rsidR="00DB4337" w:rsidRPr="00B05B9D">
        <w:t>Zamawiającego lub</w:t>
      </w:r>
      <w:r w:rsidR="00B44520" w:rsidRPr="00B05B9D">
        <w:t xml:space="preserve"> Ag</w:t>
      </w:r>
      <w:r w:rsidR="00A3172A" w:rsidRPr="00B05B9D">
        <w:t>encję Kolejową</w:t>
      </w:r>
      <w:r w:rsidR="00B44520" w:rsidRPr="00B05B9D">
        <w:t xml:space="preserve"> Unii Europejskiej</w:t>
      </w:r>
      <w:r w:rsidR="00A3172A" w:rsidRPr="00B05B9D">
        <w:t xml:space="preserve"> (również uwag zgłoszonych przez Agencję Kolejową Unii Europejskiej w języku angielskim)</w:t>
      </w:r>
      <w:r w:rsidR="00B44520" w:rsidRPr="00B05B9D">
        <w:t xml:space="preserve">. </w:t>
      </w:r>
      <w:r w:rsidR="00DB4337" w:rsidRPr="00B05B9D">
        <w:t>Uwagi Zamawiającego lub</w:t>
      </w:r>
      <w:r w:rsidR="00785C81" w:rsidRPr="00B05B9D">
        <w:t xml:space="preserve"> Agencji </w:t>
      </w:r>
      <w:r w:rsidR="00741269" w:rsidRPr="00B05B9D">
        <w:t>Kolejowej</w:t>
      </w:r>
      <w:r w:rsidR="00785C81" w:rsidRPr="00B05B9D">
        <w:t xml:space="preserve"> Unii Europejskiej mogą być przekazywane na bieżąco.</w:t>
      </w:r>
    </w:p>
    <w:p w14:paraId="692C579E" w14:textId="77F83570" w:rsidR="00EF57B2" w:rsidRPr="00B05B9D" w:rsidRDefault="00B44520" w:rsidP="00EF57B2">
      <w:pPr>
        <w:pStyle w:val="Akapitzlist"/>
        <w:numPr>
          <w:ilvl w:val="0"/>
          <w:numId w:val="29"/>
        </w:numPr>
        <w:spacing w:after="120" w:line="240" w:lineRule="auto"/>
        <w:contextualSpacing w:val="0"/>
      </w:pPr>
      <w:r w:rsidRPr="00B05B9D">
        <w:t xml:space="preserve">Wykonawca jest zobowiązany do opracowania zestawienia </w:t>
      </w:r>
      <w:r w:rsidR="00280B77" w:rsidRPr="00B05B9D">
        <w:t xml:space="preserve">uwag </w:t>
      </w:r>
      <w:r w:rsidRPr="00B05B9D">
        <w:t>zgłoszonych</w:t>
      </w:r>
      <w:r w:rsidR="00280B77" w:rsidRPr="00B05B9D">
        <w:t xml:space="preserve"> zgodnie z pkt </w:t>
      </w:r>
      <w:r w:rsidR="00280F2B" w:rsidRPr="00B05B9D">
        <w:t>7</w:t>
      </w:r>
      <w:r w:rsidR="00280B77" w:rsidRPr="00B05B9D">
        <w:t xml:space="preserve"> i </w:t>
      </w:r>
      <w:r w:rsidR="00280F2B" w:rsidRPr="00B05B9D">
        <w:t>8</w:t>
      </w:r>
      <w:r w:rsidR="00280B77" w:rsidRPr="00B05B9D">
        <w:t xml:space="preserve"> powyżej</w:t>
      </w:r>
      <w:r w:rsidRPr="00B05B9D">
        <w:t xml:space="preserve">. Zestawienie uwag zostaje opracowane na podstawie materiału przekazanego przez Zamawiającego. </w:t>
      </w:r>
      <w:r w:rsidR="00A3172A" w:rsidRPr="00B05B9D">
        <w:t>Forma opracowania zestawienia wymaga akceptacji Zamawia</w:t>
      </w:r>
      <w:r w:rsidR="00280B77" w:rsidRPr="00B05B9D">
        <w:t>jącego</w:t>
      </w:r>
      <w:r w:rsidR="00A3172A" w:rsidRPr="00B05B9D">
        <w:t xml:space="preserve">. </w:t>
      </w:r>
    </w:p>
    <w:p w14:paraId="14C615B7" w14:textId="49E79A4B" w:rsidR="00EF57B2" w:rsidRPr="00B05B9D" w:rsidRDefault="00EF57B2" w:rsidP="00EF57B2">
      <w:pPr>
        <w:pStyle w:val="Akapitzlist"/>
        <w:numPr>
          <w:ilvl w:val="0"/>
          <w:numId w:val="29"/>
        </w:numPr>
        <w:spacing w:after="120" w:line="240" w:lineRule="auto"/>
        <w:contextualSpacing w:val="0"/>
      </w:pPr>
      <w:r w:rsidRPr="00B05B9D">
        <w:t xml:space="preserve">W ramach zestawienia uwag Wykonawca przedstawia rekomendację, co do przyjęcia bądź odrzucenia konkretnej uwagi wraz z uzasadnieniem jej przyjęcia bądź odrzucenia. </w:t>
      </w:r>
    </w:p>
    <w:p w14:paraId="48143369" w14:textId="1AC691F0" w:rsidR="00F2135C" w:rsidRPr="00B05B9D" w:rsidRDefault="00F2135C" w:rsidP="00A3172A">
      <w:pPr>
        <w:pStyle w:val="Akapitzlist"/>
        <w:numPr>
          <w:ilvl w:val="0"/>
          <w:numId w:val="29"/>
        </w:numPr>
        <w:spacing w:after="120" w:line="240" w:lineRule="auto"/>
        <w:contextualSpacing w:val="0"/>
      </w:pPr>
      <w:r w:rsidRPr="00B05B9D">
        <w:t>W</w:t>
      </w:r>
      <w:r w:rsidR="00741269" w:rsidRPr="00B05B9D">
        <w:t> </w:t>
      </w:r>
      <w:r w:rsidRPr="00B05B9D">
        <w:t xml:space="preserve">przypadku </w:t>
      </w:r>
      <w:r w:rsidR="004F6240" w:rsidRPr="00B05B9D">
        <w:t>organizacji przez Zamawiającego spotkania z</w:t>
      </w:r>
      <w:r w:rsidRPr="00B05B9D">
        <w:t xml:space="preserve"> </w:t>
      </w:r>
      <w:r w:rsidR="004F6240" w:rsidRPr="00B05B9D">
        <w:t xml:space="preserve">podmiotami </w:t>
      </w:r>
      <w:r w:rsidRPr="00B05B9D">
        <w:t xml:space="preserve">zgłaszającymi uwagi – </w:t>
      </w:r>
      <w:r w:rsidR="002246B1" w:rsidRPr="00B05B9D">
        <w:t xml:space="preserve">Wykonawca </w:t>
      </w:r>
      <w:r w:rsidRPr="00B05B9D">
        <w:t xml:space="preserve">jest zobowiązany wziąć w nim udział i </w:t>
      </w:r>
      <w:r w:rsidR="004F6240" w:rsidRPr="00B05B9D">
        <w:t>uwzględnić ustalenia ze spotkania w zestawieniu uwag</w:t>
      </w:r>
      <w:r w:rsidRPr="00B05B9D">
        <w:t>.</w:t>
      </w:r>
    </w:p>
    <w:p w14:paraId="008429C3" w14:textId="4F4F5762" w:rsidR="00741269" w:rsidRPr="00B05B9D" w:rsidRDefault="001658D1" w:rsidP="00A3172A">
      <w:pPr>
        <w:pStyle w:val="Akapitzlist"/>
        <w:numPr>
          <w:ilvl w:val="0"/>
          <w:numId w:val="29"/>
        </w:numPr>
        <w:spacing w:after="120" w:line="240" w:lineRule="auto"/>
        <w:contextualSpacing w:val="0"/>
      </w:pPr>
      <w:r w:rsidRPr="00B05B9D">
        <w:t>Wykonawca</w:t>
      </w:r>
      <w:r w:rsidR="00A3172A" w:rsidRPr="00B05B9D">
        <w:t xml:space="preserve"> </w:t>
      </w:r>
      <w:r w:rsidRPr="00B05B9D">
        <w:t>po etapie konsultacji</w:t>
      </w:r>
      <w:r w:rsidR="00EF57B2" w:rsidRPr="00B05B9D">
        <w:t xml:space="preserve"> publicznych</w:t>
      </w:r>
      <w:r w:rsidRPr="00B05B9D">
        <w:t xml:space="preserve">, na podstawie zaakceptowanego przez Zamawiającego zestawienia uwag, </w:t>
      </w:r>
      <w:r w:rsidR="004F6240" w:rsidRPr="00B05B9D">
        <w:t>aktualizuje projekt ekspertyzy</w:t>
      </w:r>
      <w:r w:rsidR="00EF57B2" w:rsidRPr="00B05B9D">
        <w:t xml:space="preserve"> i przedstawia go Zamawiającemu do akceptacji</w:t>
      </w:r>
      <w:r w:rsidR="00A3172A" w:rsidRPr="00B05B9D">
        <w:t>.</w:t>
      </w:r>
    </w:p>
    <w:p w14:paraId="0BEF467A" w14:textId="5AF38103" w:rsidR="001658D1" w:rsidRPr="00B05B9D" w:rsidRDefault="00427450" w:rsidP="00A3172A">
      <w:pPr>
        <w:pStyle w:val="Akapitzlist"/>
        <w:numPr>
          <w:ilvl w:val="0"/>
          <w:numId w:val="29"/>
        </w:numPr>
        <w:spacing w:after="120" w:line="240" w:lineRule="auto"/>
        <w:contextualSpacing w:val="0"/>
      </w:pPr>
      <w:r w:rsidRPr="00B05B9D">
        <w:t>Realizacja zamówienia odbywa się zgodnie z poniższym harmonogramem</w:t>
      </w:r>
      <w:r w:rsidR="001658D1" w:rsidRPr="00B05B9D">
        <w:t>:</w:t>
      </w:r>
    </w:p>
    <w:p w14:paraId="59F2493B" w14:textId="130BF0C6" w:rsidR="001658D1" w:rsidRPr="00B05B9D" w:rsidRDefault="001658D1" w:rsidP="008615C0">
      <w:pPr>
        <w:pStyle w:val="Akapitzlist"/>
        <w:numPr>
          <w:ilvl w:val="0"/>
          <w:numId w:val="39"/>
        </w:numPr>
        <w:spacing w:after="120" w:line="240" w:lineRule="auto"/>
      </w:pPr>
      <w:r w:rsidRPr="00B05B9D">
        <w:t xml:space="preserve">sporządzenie </w:t>
      </w:r>
      <w:r w:rsidR="004F6240" w:rsidRPr="00B05B9D">
        <w:t xml:space="preserve">projektu </w:t>
      </w:r>
      <w:r w:rsidRPr="00B05B9D">
        <w:t>ekspertyzy, któr</w:t>
      </w:r>
      <w:r w:rsidR="004F6240" w:rsidRPr="00B05B9D">
        <w:t>y</w:t>
      </w:r>
      <w:r w:rsidRPr="00B05B9D">
        <w:t xml:space="preserve"> zostanie skierowan</w:t>
      </w:r>
      <w:r w:rsidR="004F6240" w:rsidRPr="00B05B9D">
        <w:t>y</w:t>
      </w:r>
      <w:r w:rsidRPr="00B05B9D">
        <w:t xml:space="preserve"> do konsultacji </w:t>
      </w:r>
      <w:r w:rsidR="0099758B" w:rsidRPr="00B05B9D">
        <w:t>publicznych</w:t>
      </w:r>
      <w:r w:rsidR="004F6240" w:rsidRPr="00B05B9D">
        <w:t>,</w:t>
      </w:r>
      <w:r w:rsidRPr="00B05B9D">
        <w:t xml:space="preserve"> w terminie 2</w:t>
      </w:r>
      <w:r w:rsidR="008615C0" w:rsidRPr="00B05B9D">
        <w:t> </w:t>
      </w:r>
      <w:r w:rsidRPr="00B05B9D">
        <w:t xml:space="preserve">(dwóch) miesięcy od daty </w:t>
      </w:r>
      <w:r w:rsidR="008615C0" w:rsidRPr="00B05B9D">
        <w:t>zaakceptowania przez Zamawiającego ustrukturyzowanego planu przedstawiającego ogólny zakres tematyczny</w:t>
      </w:r>
      <w:r w:rsidRPr="00B05B9D">
        <w:t>;</w:t>
      </w:r>
    </w:p>
    <w:p w14:paraId="30E7AD15" w14:textId="64BBA82A" w:rsidR="001658D1" w:rsidRPr="00B05B9D" w:rsidRDefault="001658D1" w:rsidP="00427450">
      <w:pPr>
        <w:pStyle w:val="Akapitzlist"/>
        <w:numPr>
          <w:ilvl w:val="0"/>
          <w:numId w:val="39"/>
        </w:numPr>
        <w:spacing w:after="120" w:line="240" w:lineRule="auto"/>
      </w:pPr>
      <w:r w:rsidRPr="00B05B9D">
        <w:t xml:space="preserve">odebranie przez Zamawiającego </w:t>
      </w:r>
      <w:r w:rsidR="004F6240" w:rsidRPr="00B05B9D">
        <w:t xml:space="preserve">projektu </w:t>
      </w:r>
      <w:r w:rsidR="00EF57B2" w:rsidRPr="00B05B9D">
        <w:t>ekspertyzy, który zostanie skierowany</w:t>
      </w:r>
      <w:r w:rsidRPr="00B05B9D">
        <w:t xml:space="preserve"> do konsultacji </w:t>
      </w:r>
      <w:r w:rsidR="00EF57B2" w:rsidRPr="00B05B9D">
        <w:t>publicznych</w:t>
      </w:r>
      <w:r w:rsidR="004F6240" w:rsidRPr="00B05B9D">
        <w:t>,</w:t>
      </w:r>
      <w:r w:rsidRPr="00B05B9D">
        <w:t xml:space="preserve"> </w:t>
      </w:r>
      <w:r w:rsidR="00785C81" w:rsidRPr="00B05B9D">
        <w:t>w</w:t>
      </w:r>
      <w:r w:rsidR="00427450" w:rsidRPr="00B05B9D">
        <w:t> </w:t>
      </w:r>
      <w:r w:rsidR="00785C81" w:rsidRPr="00B05B9D">
        <w:t>terminie 10 (dziesięciu) dni</w:t>
      </w:r>
      <w:r w:rsidRPr="00B05B9D">
        <w:t xml:space="preserve"> </w:t>
      </w:r>
      <w:r w:rsidR="00785C81" w:rsidRPr="00B05B9D">
        <w:t>od doręczenia do siedziby UTK ekspertyzy przez Wykonawcę; w</w:t>
      </w:r>
      <w:r w:rsidR="00427450" w:rsidRPr="00B05B9D">
        <w:t> </w:t>
      </w:r>
      <w:r w:rsidR="00785C81" w:rsidRPr="00B05B9D">
        <w:t xml:space="preserve">przypadku zgłoszenia uwag przez Zamawiającego, Wykonawca jest zobowiązany </w:t>
      </w:r>
      <w:r w:rsidR="00AC59AE" w:rsidRPr="00B05B9D">
        <w:br/>
      </w:r>
      <w:r w:rsidR="00785C81" w:rsidRPr="00B05B9D">
        <w:lastRenderedPageBreak/>
        <w:t>do poprawy ekspertyzy w terminie 7 (siedmiu) dni od przekazania uwag Zamawiającego;</w:t>
      </w:r>
    </w:p>
    <w:p w14:paraId="7D2E7293" w14:textId="63D34A19" w:rsidR="00785C81" w:rsidRPr="00B05B9D" w:rsidRDefault="00785C81" w:rsidP="00427450">
      <w:pPr>
        <w:pStyle w:val="Akapitzlist"/>
        <w:numPr>
          <w:ilvl w:val="0"/>
          <w:numId w:val="39"/>
        </w:numPr>
        <w:spacing w:after="120" w:line="240" w:lineRule="auto"/>
      </w:pPr>
      <w:r w:rsidRPr="00B05B9D">
        <w:t>konsultacje</w:t>
      </w:r>
      <w:r w:rsidR="00EF57B2" w:rsidRPr="00B05B9D">
        <w:t xml:space="preserve"> publiczne projektu</w:t>
      </w:r>
      <w:r w:rsidRPr="00B05B9D">
        <w:t xml:space="preserve"> ekspertyzy –</w:t>
      </w:r>
      <w:r w:rsidR="008C71B3" w:rsidRPr="00B05B9D">
        <w:t xml:space="preserve"> </w:t>
      </w:r>
      <w:r w:rsidR="002D43B7">
        <w:t xml:space="preserve">czas trwania: </w:t>
      </w:r>
      <w:r w:rsidR="008C71B3" w:rsidRPr="00B05B9D">
        <w:t xml:space="preserve">14 </w:t>
      </w:r>
      <w:bookmarkStart w:id="0" w:name="_GoBack"/>
      <w:bookmarkEnd w:id="0"/>
      <w:r w:rsidR="008C71B3" w:rsidRPr="00B05B9D">
        <w:t>dni</w:t>
      </w:r>
      <w:r w:rsidRPr="00B05B9D">
        <w:t>;</w:t>
      </w:r>
    </w:p>
    <w:p w14:paraId="274248E3" w14:textId="0C6BBB5F" w:rsidR="00785C81" w:rsidRPr="00B05B9D" w:rsidRDefault="00785C81" w:rsidP="00427450">
      <w:pPr>
        <w:pStyle w:val="Akapitzlist"/>
        <w:numPr>
          <w:ilvl w:val="0"/>
          <w:numId w:val="39"/>
        </w:numPr>
        <w:spacing w:after="120" w:line="240" w:lineRule="auto"/>
      </w:pPr>
      <w:r w:rsidRPr="00B05B9D">
        <w:t xml:space="preserve">przygotowanie zestawienia uwag przez </w:t>
      </w:r>
      <w:r w:rsidR="00741269" w:rsidRPr="00B05B9D">
        <w:t>Wykonawcę</w:t>
      </w:r>
      <w:r w:rsidR="00EF57B2" w:rsidRPr="00B05B9D">
        <w:t xml:space="preserve"> </w:t>
      </w:r>
      <w:r w:rsidR="002D43B7">
        <w:t xml:space="preserve">– </w:t>
      </w:r>
      <w:r w:rsidR="00EF57B2" w:rsidRPr="00B05B9D">
        <w:t xml:space="preserve">w terminie </w:t>
      </w:r>
      <w:r w:rsidR="008C71B3" w:rsidRPr="00B05B9D">
        <w:t xml:space="preserve">14 (czternastu) dni </w:t>
      </w:r>
      <w:r w:rsidRPr="00B05B9D">
        <w:t xml:space="preserve">od przekazania uwag </w:t>
      </w:r>
      <w:r w:rsidR="00741269" w:rsidRPr="00B05B9D">
        <w:t>przez Zamawiającego;</w:t>
      </w:r>
    </w:p>
    <w:p w14:paraId="462C1320" w14:textId="7763E38E" w:rsidR="00741269" w:rsidRPr="00B05B9D" w:rsidRDefault="001742A6" w:rsidP="00427450">
      <w:pPr>
        <w:pStyle w:val="Akapitzlist"/>
        <w:numPr>
          <w:ilvl w:val="0"/>
          <w:numId w:val="39"/>
        </w:numPr>
        <w:spacing w:after="120" w:line="240" w:lineRule="auto"/>
      </w:pPr>
      <w:r w:rsidRPr="00B05B9D">
        <w:t>w terminie 10 dni</w:t>
      </w:r>
      <w:r w:rsidR="00411549">
        <w:t xml:space="preserve"> roboczych</w:t>
      </w:r>
      <w:r w:rsidRPr="00B05B9D">
        <w:t xml:space="preserve"> od dnia przekazania zestawienia uwag, o którym mowa w pkt. powyżej – Zamawiający odbierze przygotowany dokument, który uwzględnia wszystkie</w:t>
      </w:r>
      <w:r w:rsidR="00411549">
        <w:t xml:space="preserve"> uwagi Zamawiającego </w:t>
      </w:r>
      <w:r w:rsidR="00411549">
        <w:br/>
        <w:t xml:space="preserve">i prześle </w:t>
      </w:r>
      <w:r w:rsidRPr="00B05B9D">
        <w:t>go Wykonawcy.</w:t>
      </w:r>
      <w:r w:rsidR="008615C0" w:rsidRPr="00B05B9D">
        <w:t xml:space="preserve"> P</w:t>
      </w:r>
      <w:r w:rsidR="00741269" w:rsidRPr="00B05B9D">
        <w:t xml:space="preserve">rzygotowanie przez Wykonawcę ostatecznej wersji ekspertyzy w terminie </w:t>
      </w:r>
      <w:r w:rsidR="008615C0" w:rsidRPr="00B05B9D">
        <w:br/>
      </w:r>
      <w:r w:rsidR="008C71B3" w:rsidRPr="00B05B9D">
        <w:t>21 (dwudziestu jeden dni)</w:t>
      </w:r>
      <w:r w:rsidR="00741269" w:rsidRPr="00B05B9D">
        <w:t xml:space="preserve"> od przekazania przez Zamawiającego zaakceptowanego zestawienia uwag;</w:t>
      </w:r>
    </w:p>
    <w:p w14:paraId="01E50E42" w14:textId="09A76F42" w:rsidR="00741269" w:rsidRPr="00B05B9D" w:rsidRDefault="00741269" w:rsidP="00B05B9D">
      <w:pPr>
        <w:pStyle w:val="Akapitzlist"/>
        <w:numPr>
          <w:ilvl w:val="0"/>
          <w:numId w:val="39"/>
        </w:numPr>
        <w:spacing w:after="120" w:line="240" w:lineRule="auto"/>
        <w:ind w:left="714" w:hanging="357"/>
        <w:contextualSpacing w:val="0"/>
      </w:pPr>
      <w:r w:rsidRPr="00B05B9D">
        <w:t xml:space="preserve">odebranie przez Zamawiającego ostatecznej wersji ekspertyzy, w terminie </w:t>
      </w:r>
      <w:r w:rsidR="00595832" w:rsidRPr="00B05B9D">
        <w:t>21</w:t>
      </w:r>
      <w:r w:rsidRPr="00B05B9D">
        <w:t xml:space="preserve"> (</w:t>
      </w:r>
      <w:r w:rsidR="00595832" w:rsidRPr="00B05B9D">
        <w:t>dwudziestu jeden</w:t>
      </w:r>
      <w:r w:rsidRPr="00B05B9D">
        <w:t xml:space="preserve">) dni </w:t>
      </w:r>
      <w:r w:rsidR="00411549">
        <w:t xml:space="preserve">roboczych </w:t>
      </w:r>
      <w:r w:rsidRPr="00B05B9D">
        <w:t>od</w:t>
      </w:r>
      <w:r w:rsidR="00427450" w:rsidRPr="00B05B9D">
        <w:t> </w:t>
      </w:r>
      <w:r w:rsidR="00760701" w:rsidRPr="00B05B9D">
        <w:t>przekazania projektu</w:t>
      </w:r>
      <w:r w:rsidRPr="00B05B9D">
        <w:t xml:space="preserve"> przez Wykonawcę; w przypadku zgłoszenia uwag przez Zamawiającego, Wykonawca jest zobowiązany do poprawy ekspertyzy w terminie </w:t>
      </w:r>
      <w:r w:rsidR="000435E7" w:rsidRPr="00B05B9D">
        <w:t>3</w:t>
      </w:r>
      <w:r w:rsidRPr="00B05B9D">
        <w:t xml:space="preserve"> (</w:t>
      </w:r>
      <w:r w:rsidR="000435E7" w:rsidRPr="00B05B9D">
        <w:t>trzech</w:t>
      </w:r>
      <w:r w:rsidRPr="00B05B9D">
        <w:t xml:space="preserve">) dni </w:t>
      </w:r>
      <w:r w:rsidR="00411549">
        <w:br/>
      </w:r>
      <w:r w:rsidRPr="00B05B9D">
        <w:t>od przekazania uwag Zamawiającego.</w:t>
      </w:r>
    </w:p>
    <w:p w14:paraId="02EAFDEB" w14:textId="26E86648" w:rsidR="00427450" w:rsidRPr="0071410F" w:rsidRDefault="001179F7" w:rsidP="00B05B9D">
      <w:pPr>
        <w:pStyle w:val="Akapitzlist"/>
        <w:numPr>
          <w:ilvl w:val="0"/>
          <w:numId w:val="29"/>
        </w:numPr>
        <w:spacing w:after="120" w:line="240" w:lineRule="auto"/>
        <w:ind w:left="357" w:hanging="357"/>
        <w:contextualSpacing w:val="0"/>
      </w:pPr>
      <w:r w:rsidRPr="0071410F">
        <w:t xml:space="preserve">W trakcie opracowywania ekspertyzy Wykonawca będzie na bieżąco współpracował z Zamawiającym </w:t>
      </w:r>
      <w:r w:rsidRPr="0071410F">
        <w:br/>
        <w:t>w formie bezpośrednich spotkań, kontaktów te</w:t>
      </w:r>
      <w:r w:rsidR="00A81A9C" w:rsidRPr="0071410F">
        <w:t>lefonicznych</w:t>
      </w:r>
      <w:r w:rsidRPr="0071410F">
        <w:t xml:space="preserve"> i/lub kontaktów e-mailowych. Wersje robocze ekspertyzy będą przesłane przez Wykonawcę do Zamawiającego za pośrednictwem poczty elektronicznej. Wersje robocze będą przekazywane w formie edytowalnej w terminach uzg</w:t>
      </w:r>
      <w:r w:rsidR="00B05B9D">
        <w:t>odnionych przez Zamawiającego i </w:t>
      </w:r>
      <w:r w:rsidRPr="0071410F">
        <w:t>Wykonawcę po podpisaniu umowy.</w:t>
      </w:r>
    </w:p>
    <w:p w14:paraId="1655AA5E" w14:textId="0B198B71" w:rsidR="00427450" w:rsidRPr="0071410F" w:rsidRDefault="00333BB9" w:rsidP="00B05B9D">
      <w:pPr>
        <w:pStyle w:val="Akapitzlist"/>
        <w:numPr>
          <w:ilvl w:val="0"/>
          <w:numId w:val="29"/>
        </w:numPr>
        <w:spacing w:after="120" w:line="240" w:lineRule="auto"/>
        <w:ind w:left="357" w:hanging="357"/>
        <w:contextualSpacing w:val="0"/>
      </w:pPr>
      <w:r w:rsidRPr="0071410F">
        <w:t>W sytuacji, gdy w treści ekspertyzy Wykonawca powołuje się na jakieś publikacje czy inne dane</w:t>
      </w:r>
      <w:r w:rsidR="00CD37E4" w:rsidRPr="0071410F">
        <w:t>, jest on </w:t>
      </w:r>
      <w:r w:rsidRPr="0071410F">
        <w:t>zobligowany do podania źródeł.</w:t>
      </w:r>
    </w:p>
    <w:p w14:paraId="343E18D6" w14:textId="3764C2C4" w:rsidR="00427450" w:rsidRDefault="000F03D8" w:rsidP="00B05B9D">
      <w:pPr>
        <w:pStyle w:val="Akapitzlist"/>
        <w:numPr>
          <w:ilvl w:val="0"/>
          <w:numId w:val="29"/>
        </w:numPr>
        <w:spacing w:after="120" w:line="240" w:lineRule="auto"/>
        <w:ind w:left="357" w:hanging="357"/>
        <w:contextualSpacing w:val="0"/>
      </w:pPr>
      <w:r w:rsidRPr="0071410F">
        <w:t>Dokument należy dostarczyć w wersji papierowej z podpisami autorów, elektronicznej w formacie PDF i</w:t>
      </w:r>
      <w:r w:rsidR="00CB6EFC" w:rsidRPr="0071410F">
        <w:t> </w:t>
      </w:r>
      <w:r w:rsidRPr="0071410F">
        <w:t>edytowalnym formacie DOC, na nośniku elektronicznym.</w:t>
      </w:r>
    </w:p>
    <w:p w14:paraId="25E1280D" w14:textId="1D0F75BB" w:rsidR="000F03D8" w:rsidRDefault="000F03D8" w:rsidP="00B05B9D">
      <w:pPr>
        <w:pStyle w:val="Akapitzlist"/>
        <w:numPr>
          <w:ilvl w:val="0"/>
          <w:numId w:val="29"/>
        </w:numPr>
        <w:spacing w:after="120" w:line="240" w:lineRule="auto"/>
        <w:ind w:left="357" w:hanging="357"/>
        <w:contextualSpacing w:val="0"/>
      </w:pPr>
      <w:r>
        <w:t xml:space="preserve">Wykonawca oznakuje dokument ekspertyzy zgodnie z wymaganiami w zakresie informacji i promocji Programu Operacyjnego Pomoc Techniczna 2014-2020. Wymogi i materiały dotyczące oznakowania można znaleźć na stronie: </w:t>
      </w:r>
      <w:hyperlink r:id="rId9" w:history="1">
        <w:r w:rsidRPr="00925184">
          <w:rPr>
            <w:rStyle w:val="Hipercze"/>
          </w:rPr>
          <w:t>https://www.funduszeeuropejskie.gov.pl/strony/o-funduszach/dokumenty/podrecznik-wnioskodawcy-i-beneficjenta-programow-polityki-spojnosci-2014-2020-w-zakresie-informacji-i-promocji/</w:t>
        </w:r>
      </w:hyperlink>
      <w:r>
        <w:t xml:space="preserve"> oraz </w:t>
      </w:r>
      <w:hyperlink r:id="rId10" w:history="1">
        <w:r w:rsidRPr="00925184">
          <w:rPr>
            <w:rStyle w:val="Hipercze"/>
          </w:rPr>
          <w:t>https://www.popt.gov.pl/strony/o-programie/promocja-programu/zasady-promocji-i-oznakowania-projektow/</w:t>
        </w:r>
      </w:hyperlink>
    </w:p>
    <w:p w14:paraId="20278A0D" w14:textId="2D7D8FB8" w:rsidR="00BA2EA5" w:rsidRDefault="000F03D8" w:rsidP="00B05B9D">
      <w:pPr>
        <w:pStyle w:val="Akapitzlist"/>
        <w:numPr>
          <w:ilvl w:val="0"/>
          <w:numId w:val="29"/>
        </w:numPr>
        <w:spacing w:after="120" w:line="240" w:lineRule="auto"/>
        <w:ind w:left="357" w:hanging="357"/>
        <w:contextualSpacing w:val="0"/>
      </w:pPr>
      <w:r>
        <w:t xml:space="preserve">Wszelkie prawa majątkowe do wykonanego opracowania zostaną przeniesione na Zamawiającego z chwilą </w:t>
      </w:r>
      <w:r w:rsidR="00DD4A30">
        <w:t>przyjęcia</w:t>
      </w:r>
      <w:r w:rsidR="00776A3E" w:rsidRPr="00776A3E">
        <w:t xml:space="preserve"> </w:t>
      </w:r>
      <w:r w:rsidR="00776A3E">
        <w:t>przez Zamawiającego</w:t>
      </w:r>
      <w:r>
        <w:t xml:space="preserve"> opracowania</w:t>
      </w:r>
      <w:r w:rsidR="005A6313">
        <w:t>, w ramach wynagrodzenia za realizację umowy</w:t>
      </w:r>
      <w:r>
        <w:t>. Wykonawca oświadczy, że przysługują mu autorskie prawa majątkowe do wszystkich elementów objętych przedmiotem zamó</w:t>
      </w:r>
      <w:r w:rsidR="00776A3E">
        <w:t>wienia i przeniesie te prawa na </w:t>
      </w:r>
      <w:r>
        <w:t>Zamawiającego z</w:t>
      </w:r>
      <w:r w:rsidR="00CB6EFC">
        <w:t> </w:t>
      </w:r>
      <w:r>
        <w:t>chwilą odebrania przedmiotu zamówienia. Stosowne postanowienia dot. praw autorskich, wykorzystania przedmiotu zamówieni</w:t>
      </w:r>
      <w:r w:rsidR="00B05B9D">
        <w:t>a przez Zamawiającego na </w:t>
      </w:r>
      <w:r>
        <w:t>wszelkich polach eksploatacji zostaną zawarte w umowie.</w:t>
      </w:r>
    </w:p>
    <w:sectPr w:rsidR="00BA2EA5" w:rsidSect="00BA2E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8" w:bottom="1418" w:left="1418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A00EC7" w15:done="0"/>
  <w15:commentEx w15:paraId="0598CE86" w15:done="0"/>
  <w15:commentEx w15:paraId="06A81EE6" w15:done="0"/>
  <w15:commentEx w15:paraId="2AE1F90D" w15:done="0"/>
  <w15:commentEx w15:paraId="30BF8DDA" w15:done="0"/>
  <w15:commentEx w15:paraId="545CF2D0" w15:done="0"/>
  <w15:commentEx w15:paraId="45F0AA3C" w15:done="0"/>
  <w15:commentEx w15:paraId="3FA44538" w15:done="0"/>
  <w15:commentEx w15:paraId="64FFB10C" w15:done="0"/>
  <w15:commentEx w15:paraId="30E2B3B9" w15:done="0"/>
  <w15:commentEx w15:paraId="0BA19B43" w15:done="0"/>
  <w15:commentEx w15:paraId="0AA739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66BA3" w14:textId="77777777" w:rsidR="00E825FA" w:rsidRDefault="00E825FA" w:rsidP="00F62FAB">
      <w:pPr>
        <w:spacing w:after="0" w:line="240" w:lineRule="auto"/>
      </w:pPr>
      <w:r>
        <w:separator/>
      </w:r>
    </w:p>
  </w:endnote>
  <w:endnote w:type="continuationSeparator" w:id="0">
    <w:p w14:paraId="099C97BB" w14:textId="77777777" w:rsidR="00E825FA" w:rsidRDefault="00E825FA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AB4C7" w14:textId="77777777" w:rsidR="00316DC8" w:rsidRDefault="00316D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4E9DD" w14:textId="77777777" w:rsidR="00291E88" w:rsidRPr="00C033C3" w:rsidRDefault="00291E88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1AC7CAF" w14:textId="746B9868" w:rsidR="00291E88" w:rsidRPr="00290C0A" w:rsidRDefault="00BA2EA5" w:rsidP="00A557B4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290C0A">
      <w:rPr>
        <w:sz w:val="16"/>
        <w:szCs w:val="16"/>
      </w:rPr>
      <w:t>Załącznik nr 1 do SIWZ: BAF-</w:t>
    </w:r>
    <w:r w:rsidR="00316DC8">
      <w:rPr>
        <w:sz w:val="16"/>
        <w:szCs w:val="16"/>
      </w:rPr>
      <w:t>WZPL.</w:t>
    </w:r>
    <w:r w:rsidRPr="00290C0A">
      <w:rPr>
        <w:sz w:val="16"/>
        <w:szCs w:val="16"/>
      </w:rPr>
      <w:t>25</w:t>
    </w:r>
    <w:r w:rsidR="00316DC8">
      <w:rPr>
        <w:sz w:val="16"/>
        <w:szCs w:val="16"/>
      </w:rPr>
      <w:t>0.4.</w:t>
    </w:r>
    <w:r w:rsidRPr="00290C0A">
      <w:rPr>
        <w:sz w:val="16"/>
        <w:szCs w:val="16"/>
      </w:rPr>
      <w:t>201</w:t>
    </w:r>
    <w:r w:rsidR="00316DC8">
      <w:rPr>
        <w:sz w:val="16"/>
        <w:szCs w:val="16"/>
      </w:rPr>
      <w:t>7</w:t>
    </w:r>
    <w:r w:rsidRPr="00290C0A">
      <w:rPr>
        <w:sz w:val="16"/>
        <w:szCs w:val="16"/>
      </w:rPr>
      <w:t xml:space="preserve"> – str. </w:t>
    </w:r>
    <w:r w:rsidR="00291E88" w:rsidRPr="00290C0A">
      <w:rPr>
        <w:sz w:val="16"/>
        <w:szCs w:val="16"/>
      </w:rPr>
      <w:fldChar w:fldCharType="begin"/>
    </w:r>
    <w:r w:rsidR="00291E88" w:rsidRPr="00290C0A">
      <w:rPr>
        <w:sz w:val="16"/>
        <w:szCs w:val="16"/>
      </w:rPr>
      <w:instrText>PAGE   \* MERGEFORMAT</w:instrText>
    </w:r>
    <w:r w:rsidR="00291E88" w:rsidRPr="00290C0A">
      <w:rPr>
        <w:sz w:val="16"/>
        <w:szCs w:val="16"/>
      </w:rPr>
      <w:fldChar w:fldCharType="separate"/>
    </w:r>
    <w:r w:rsidR="002D43B7">
      <w:rPr>
        <w:noProof/>
        <w:sz w:val="16"/>
        <w:szCs w:val="16"/>
      </w:rPr>
      <w:t>3</w:t>
    </w:r>
    <w:r w:rsidR="00291E88" w:rsidRPr="00290C0A">
      <w:rPr>
        <w:sz w:val="16"/>
        <w:szCs w:val="16"/>
      </w:rPr>
      <w:fldChar w:fldCharType="end"/>
    </w:r>
    <w:r w:rsidR="00291E88" w:rsidRPr="00290C0A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6181E" w14:textId="77777777" w:rsidR="00316DC8" w:rsidRDefault="00316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032D4" w14:textId="77777777" w:rsidR="00E825FA" w:rsidRDefault="00E825FA" w:rsidP="00F62FAB">
      <w:pPr>
        <w:spacing w:after="0" w:line="240" w:lineRule="auto"/>
      </w:pPr>
      <w:r>
        <w:separator/>
      </w:r>
    </w:p>
  </w:footnote>
  <w:footnote w:type="continuationSeparator" w:id="0">
    <w:p w14:paraId="7692AC98" w14:textId="77777777" w:rsidR="00E825FA" w:rsidRDefault="00E825FA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C241A" w14:textId="77777777" w:rsidR="00316DC8" w:rsidRDefault="00316D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BA2EA5" w14:paraId="110B8A8D" w14:textId="77777777" w:rsidTr="00962C40">
      <w:trPr>
        <w:jc w:val="center"/>
      </w:trPr>
      <w:tc>
        <w:tcPr>
          <w:tcW w:w="2771" w:type="dxa"/>
          <w:vAlign w:val="center"/>
        </w:tcPr>
        <w:p w14:paraId="1390A6D9" w14:textId="77777777" w:rsidR="00BA2EA5" w:rsidRDefault="00BA2EA5" w:rsidP="00962C40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2CF0709" wp14:editId="5B4DA681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2F5D9392" w14:textId="7EA2417A" w:rsidR="00BA2EA5" w:rsidRDefault="00805AF8" w:rsidP="00962C40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31B6DE7B" wp14:editId="6899C3D3">
                <wp:extent cx="2556000" cy="537009"/>
                <wp:effectExtent l="0" t="0" r="0" b="0"/>
                <wp:docPr id="1" name="Obraz 1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6000" cy="53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33F31F7B" w14:textId="77777777" w:rsidR="00BA2EA5" w:rsidRDefault="00BA2EA5" w:rsidP="00962C40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0D79A92" wp14:editId="7A51C2C1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7FA298" w14:textId="77777777" w:rsidR="00291E88" w:rsidRPr="00F62FAB" w:rsidRDefault="00291E88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CCFB3" w14:textId="77777777" w:rsidR="00316DC8" w:rsidRDefault="00316D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0A7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90D4686"/>
    <w:multiLevelType w:val="hybridMultilevel"/>
    <w:tmpl w:val="88D86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03D7B"/>
    <w:multiLevelType w:val="hybridMultilevel"/>
    <w:tmpl w:val="A3383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06ADA"/>
    <w:multiLevelType w:val="multilevel"/>
    <w:tmpl w:val="1BE218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C644E22"/>
    <w:multiLevelType w:val="multilevel"/>
    <w:tmpl w:val="5D9CC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FD725C2"/>
    <w:multiLevelType w:val="multilevel"/>
    <w:tmpl w:val="5D9CC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E1B25"/>
    <w:multiLevelType w:val="hybridMultilevel"/>
    <w:tmpl w:val="A194327A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C0EE6"/>
    <w:multiLevelType w:val="hybridMultilevel"/>
    <w:tmpl w:val="9E72E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F69A7"/>
    <w:multiLevelType w:val="hybridMultilevel"/>
    <w:tmpl w:val="EC088FD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C00153"/>
    <w:multiLevelType w:val="hybridMultilevel"/>
    <w:tmpl w:val="1D0A7EB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5968D72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C84B9C"/>
    <w:multiLevelType w:val="hybridMultilevel"/>
    <w:tmpl w:val="1A42963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26A25"/>
    <w:multiLevelType w:val="hybridMultilevel"/>
    <w:tmpl w:val="A532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B3DA7"/>
    <w:multiLevelType w:val="hybridMultilevel"/>
    <w:tmpl w:val="1CF43238"/>
    <w:lvl w:ilvl="0" w:tplc="9D9AB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>
    <w:nsid w:val="591E19D0"/>
    <w:multiLevelType w:val="hybridMultilevel"/>
    <w:tmpl w:val="1038A512"/>
    <w:lvl w:ilvl="0" w:tplc="C2AA8CA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1">
    <w:nsid w:val="615B3934"/>
    <w:multiLevelType w:val="multilevel"/>
    <w:tmpl w:val="5D9CC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23E03"/>
    <w:multiLevelType w:val="hybridMultilevel"/>
    <w:tmpl w:val="5CA6D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27C26"/>
    <w:multiLevelType w:val="multilevel"/>
    <w:tmpl w:val="5D9CC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E85421A"/>
    <w:multiLevelType w:val="hybridMultilevel"/>
    <w:tmpl w:val="156630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>
    <w:nsid w:val="76E03FD7"/>
    <w:multiLevelType w:val="hybridMultilevel"/>
    <w:tmpl w:val="DF9E7270"/>
    <w:lvl w:ilvl="0" w:tplc="C50A8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66525"/>
    <w:multiLevelType w:val="multilevel"/>
    <w:tmpl w:val="7D70B6FE"/>
    <w:lvl w:ilvl="0">
      <w:start w:val="5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EF422E7"/>
    <w:multiLevelType w:val="hybridMultilevel"/>
    <w:tmpl w:val="69BEF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39"/>
  </w:num>
  <w:num w:numId="5">
    <w:abstractNumId w:val="28"/>
  </w:num>
  <w:num w:numId="6">
    <w:abstractNumId w:val="5"/>
  </w:num>
  <w:num w:numId="7">
    <w:abstractNumId w:val="25"/>
  </w:num>
  <w:num w:numId="8">
    <w:abstractNumId w:val="13"/>
  </w:num>
  <w:num w:numId="9">
    <w:abstractNumId w:val="39"/>
  </w:num>
  <w:num w:numId="10">
    <w:abstractNumId w:val="11"/>
  </w:num>
  <w:num w:numId="11">
    <w:abstractNumId w:val="34"/>
  </w:num>
  <w:num w:numId="12">
    <w:abstractNumId w:val="27"/>
  </w:num>
  <w:num w:numId="13">
    <w:abstractNumId w:val="29"/>
  </w:num>
  <w:num w:numId="14">
    <w:abstractNumId w:val="1"/>
  </w:num>
  <w:num w:numId="15">
    <w:abstractNumId w:val="22"/>
  </w:num>
  <w:num w:numId="16">
    <w:abstractNumId w:val="2"/>
  </w:num>
  <w:num w:numId="17">
    <w:abstractNumId w:val="37"/>
  </w:num>
  <w:num w:numId="18">
    <w:abstractNumId w:val="14"/>
  </w:num>
  <w:num w:numId="19">
    <w:abstractNumId w:val="26"/>
  </w:num>
  <w:num w:numId="20">
    <w:abstractNumId w:val="12"/>
  </w:num>
  <w:num w:numId="21">
    <w:abstractNumId w:val="32"/>
  </w:num>
  <w:num w:numId="22">
    <w:abstractNumId w:val="15"/>
  </w:num>
  <w:num w:numId="23">
    <w:abstractNumId w:val="0"/>
  </w:num>
  <w:num w:numId="24">
    <w:abstractNumId w:val="21"/>
  </w:num>
  <w:num w:numId="25">
    <w:abstractNumId w:val="7"/>
  </w:num>
  <w:num w:numId="26">
    <w:abstractNumId w:val="17"/>
  </w:num>
  <w:num w:numId="27">
    <w:abstractNumId w:val="33"/>
  </w:num>
  <w:num w:numId="28">
    <w:abstractNumId w:val="6"/>
  </w:num>
  <w:num w:numId="29">
    <w:abstractNumId w:val="10"/>
  </w:num>
  <w:num w:numId="30">
    <w:abstractNumId w:val="38"/>
  </w:num>
  <w:num w:numId="31">
    <w:abstractNumId w:val="31"/>
  </w:num>
  <w:num w:numId="32">
    <w:abstractNumId w:val="9"/>
  </w:num>
  <w:num w:numId="33">
    <w:abstractNumId w:val="19"/>
  </w:num>
  <w:num w:numId="34">
    <w:abstractNumId w:val="18"/>
  </w:num>
  <w:num w:numId="35">
    <w:abstractNumId w:val="30"/>
  </w:num>
  <w:num w:numId="36">
    <w:abstractNumId w:val="40"/>
  </w:num>
  <w:num w:numId="37">
    <w:abstractNumId w:val="35"/>
  </w:num>
  <w:num w:numId="38">
    <w:abstractNumId w:val="8"/>
  </w:num>
  <w:num w:numId="39">
    <w:abstractNumId w:val="36"/>
  </w:num>
  <w:num w:numId="40">
    <w:abstractNumId w:val="23"/>
  </w:num>
  <w:num w:numId="41">
    <w:abstractNumId w:val="16"/>
  </w:num>
  <w:num w:numId="4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Kochańska">
    <w15:presenceInfo w15:providerId="AD" w15:userId="S-1-5-21-3510801879-1926838488-2579960749-2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00E9D"/>
    <w:rsid w:val="000055F5"/>
    <w:rsid w:val="00040E37"/>
    <w:rsid w:val="00041502"/>
    <w:rsid w:val="000435E7"/>
    <w:rsid w:val="00056923"/>
    <w:rsid w:val="0008673F"/>
    <w:rsid w:val="000C2BE2"/>
    <w:rsid w:val="000C4D86"/>
    <w:rsid w:val="000D568F"/>
    <w:rsid w:val="000D71E6"/>
    <w:rsid w:val="000E1E0A"/>
    <w:rsid w:val="000E20D8"/>
    <w:rsid w:val="000E3DDF"/>
    <w:rsid w:val="000E6A83"/>
    <w:rsid w:val="000F03D8"/>
    <w:rsid w:val="000F26A9"/>
    <w:rsid w:val="00104664"/>
    <w:rsid w:val="0010505D"/>
    <w:rsid w:val="00115855"/>
    <w:rsid w:val="001179F7"/>
    <w:rsid w:val="0012730F"/>
    <w:rsid w:val="00130752"/>
    <w:rsid w:val="00152B98"/>
    <w:rsid w:val="00162666"/>
    <w:rsid w:val="0016465D"/>
    <w:rsid w:val="00165285"/>
    <w:rsid w:val="00165845"/>
    <w:rsid w:val="001658D1"/>
    <w:rsid w:val="00166D02"/>
    <w:rsid w:val="001742A6"/>
    <w:rsid w:val="001776B3"/>
    <w:rsid w:val="00177B17"/>
    <w:rsid w:val="001A3446"/>
    <w:rsid w:val="001C0FD6"/>
    <w:rsid w:val="001C3DE8"/>
    <w:rsid w:val="001C5749"/>
    <w:rsid w:val="001C6178"/>
    <w:rsid w:val="001D0C7F"/>
    <w:rsid w:val="001D2FA5"/>
    <w:rsid w:val="001D3C34"/>
    <w:rsid w:val="00210142"/>
    <w:rsid w:val="002146AC"/>
    <w:rsid w:val="0022286B"/>
    <w:rsid w:val="002246B1"/>
    <w:rsid w:val="00251F94"/>
    <w:rsid w:val="00266632"/>
    <w:rsid w:val="00273A14"/>
    <w:rsid w:val="00280B77"/>
    <w:rsid w:val="00280F2B"/>
    <w:rsid w:val="00287B5A"/>
    <w:rsid w:val="00290C0A"/>
    <w:rsid w:val="00291E88"/>
    <w:rsid w:val="002C2DD6"/>
    <w:rsid w:val="002D43B7"/>
    <w:rsid w:val="002E0047"/>
    <w:rsid w:val="002E2BE8"/>
    <w:rsid w:val="002F34DB"/>
    <w:rsid w:val="00316DC8"/>
    <w:rsid w:val="00322988"/>
    <w:rsid w:val="00323967"/>
    <w:rsid w:val="00333BB9"/>
    <w:rsid w:val="00344C6C"/>
    <w:rsid w:val="00352EBD"/>
    <w:rsid w:val="00356E49"/>
    <w:rsid w:val="0036276E"/>
    <w:rsid w:val="00364987"/>
    <w:rsid w:val="00372636"/>
    <w:rsid w:val="00384BF4"/>
    <w:rsid w:val="003A07EB"/>
    <w:rsid w:val="003B36C8"/>
    <w:rsid w:val="003C3BD9"/>
    <w:rsid w:val="003C7ABC"/>
    <w:rsid w:val="003D4AB9"/>
    <w:rsid w:val="003E4B6D"/>
    <w:rsid w:val="003E683B"/>
    <w:rsid w:val="00401291"/>
    <w:rsid w:val="004016CD"/>
    <w:rsid w:val="00411549"/>
    <w:rsid w:val="00414FF9"/>
    <w:rsid w:val="00427450"/>
    <w:rsid w:val="004348DE"/>
    <w:rsid w:val="00436A93"/>
    <w:rsid w:val="00441F7A"/>
    <w:rsid w:val="00443D02"/>
    <w:rsid w:val="00471AC4"/>
    <w:rsid w:val="0049761D"/>
    <w:rsid w:val="004A4C00"/>
    <w:rsid w:val="004B6378"/>
    <w:rsid w:val="004B6385"/>
    <w:rsid w:val="004C785E"/>
    <w:rsid w:val="004D3580"/>
    <w:rsid w:val="004F0A6D"/>
    <w:rsid w:val="004F6240"/>
    <w:rsid w:val="00501C13"/>
    <w:rsid w:val="00517F6D"/>
    <w:rsid w:val="00532D83"/>
    <w:rsid w:val="005415B2"/>
    <w:rsid w:val="0055646C"/>
    <w:rsid w:val="005615CB"/>
    <w:rsid w:val="00585F96"/>
    <w:rsid w:val="0058735E"/>
    <w:rsid w:val="005877A6"/>
    <w:rsid w:val="00595832"/>
    <w:rsid w:val="005A1099"/>
    <w:rsid w:val="005A6313"/>
    <w:rsid w:val="005B5C83"/>
    <w:rsid w:val="005C6541"/>
    <w:rsid w:val="005D3CDE"/>
    <w:rsid w:val="005E6206"/>
    <w:rsid w:val="005F6E92"/>
    <w:rsid w:val="00602B53"/>
    <w:rsid w:val="00612881"/>
    <w:rsid w:val="00617D67"/>
    <w:rsid w:val="00645D59"/>
    <w:rsid w:val="00652988"/>
    <w:rsid w:val="0065427E"/>
    <w:rsid w:val="006567EE"/>
    <w:rsid w:val="0065700F"/>
    <w:rsid w:val="006634F8"/>
    <w:rsid w:val="0066529C"/>
    <w:rsid w:val="00667694"/>
    <w:rsid w:val="00677BE0"/>
    <w:rsid w:val="00680ECD"/>
    <w:rsid w:val="006B4844"/>
    <w:rsid w:val="006C2DC7"/>
    <w:rsid w:val="006C46E6"/>
    <w:rsid w:val="006F4C75"/>
    <w:rsid w:val="0071261A"/>
    <w:rsid w:val="0071410F"/>
    <w:rsid w:val="007340C6"/>
    <w:rsid w:val="00741269"/>
    <w:rsid w:val="00741C91"/>
    <w:rsid w:val="00744CB3"/>
    <w:rsid w:val="00753933"/>
    <w:rsid w:val="007542AB"/>
    <w:rsid w:val="0075494F"/>
    <w:rsid w:val="00760701"/>
    <w:rsid w:val="007609E1"/>
    <w:rsid w:val="00761364"/>
    <w:rsid w:val="007616A2"/>
    <w:rsid w:val="0076292E"/>
    <w:rsid w:val="007656BD"/>
    <w:rsid w:val="00770B8E"/>
    <w:rsid w:val="00776A3E"/>
    <w:rsid w:val="0078452B"/>
    <w:rsid w:val="00785C81"/>
    <w:rsid w:val="00793BBF"/>
    <w:rsid w:val="007A318F"/>
    <w:rsid w:val="007C2F5A"/>
    <w:rsid w:val="007D278C"/>
    <w:rsid w:val="007D3F94"/>
    <w:rsid w:val="007D4B7D"/>
    <w:rsid w:val="007D66CD"/>
    <w:rsid w:val="007D7100"/>
    <w:rsid w:val="007E2ABD"/>
    <w:rsid w:val="007F4702"/>
    <w:rsid w:val="007F6601"/>
    <w:rsid w:val="00805AF8"/>
    <w:rsid w:val="00805EDF"/>
    <w:rsid w:val="00822D59"/>
    <w:rsid w:val="00826615"/>
    <w:rsid w:val="008325C8"/>
    <w:rsid w:val="008615C0"/>
    <w:rsid w:val="00882202"/>
    <w:rsid w:val="008A0868"/>
    <w:rsid w:val="008A3587"/>
    <w:rsid w:val="008B1C75"/>
    <w:rsid w:val="008C71B3"/>
    <w:rsid w:val="008D675C"/>
    <w:rsid w:val="008E0730"/>
    <w:rsid w:val="008F31E2"/>
    <w:rsid w:val="00904A36"/>
    <w:rsid w:val="00905181"/>
    <w:rsid w:val="0095006D"/>
    <w:rsid w:val="00963FE7"/>
    <w:rsid w:val="00966A44"/>
    <w:rsid w:val="00967F2B"/>
    <w:rsid w:val="00985639"/>
    <w:rsid w:val="00992207"/>
    <w:rsid w:val="0099758B"/>
    <w:rsid w:val="009B4D16"/>
    <w:rsid w:val="009E0D60"/>
    <w:rsid w:val="009E30EB"/>
    <w:rsid w:val="00A0074D"/>
    <w:rsid w:val="00A013AB"/>
    <w:rsid w:val="00A04E20"/>
    <w:rsid w:val="00A055BD"/>
    <w:rsid w:val="00A170A7"/>
    <w:rsid w:val="00A23F34"/>
    <w:rsid w:val="00A3172A"/>
    <w:rsid w:val="00A33F37"/>
    <w:rsid w:val="00A46EA0"/>
    <w:rsid w:val="00A513A8"/>
    <w:rsid w:val="00A557B4"/>
    <w:rsid w:val="00A56F8E"/>
    <w:rsid w:val="00A63282"/>
    <w:rsid w:val="00A81A9C"/>
    <w:rsid w:val="00A91E78"/>
    <w:rsid w:val="00A92D2B"/>
    <w:rsid w:val="00AB64E9"/>
    <w:rsid w:val="00AB6C92"/>
    <w:rsid w:val="00AC59AE"/>
    <w:rsid w:val="00B0180C"/>
    <w:rsid w:val="00B05B9D"/>
    <w:rsid w:val="00B12FBC"/>
    <w:rsid w:val="00B13204"/>
    <w:rsid w:val="00B21B2C"/>
    <w:rsid w:val="00B22A05"/>
    <w:rsid w:val="00B33378"/>
    <w:rsid w:val="00B439C9"/>
    <w:rsid w:val="00B44520"/>
    <w:rsid w:val="00B44C80"/>
    <w:rsid w:val="00B57DAE"/>
    <w:rsid w:val="00B905DD"/>
    <w:rsid w:val="00B91323"/>
    <w:rsid w:val="00B9394B"/>
    <w:rsid w:val="00BA2EA5"/>
    <w:rsid w:val="00BA36E2"/>
    <w:rsid w:val="00BA565E"/>
    <w:rsid w:val="00BB636F"/>
    <w:rsid w:val="00BC6789"/>
    <w:rsid w:val="00BE3D1C"/>
    <w:rsid w:val="00BF2F86"/>
    <w:rsid w:val="00BF6474"/>
    <w:rsid w:val="00C01475"/>
    <w:rsid w:val="00C0200F"/>
    <w:rsid w:val="00C033C3"/>
    <w:rsid w:val="00C04E3F"/>
    <w:rsid w:val="00C21BE7"/>
    <w:rsid w:val="00C37BD1"/>
    <w:rsid w:val="00C4213B"/>
    <w:rsid w:val="00C81D3F"/>
    <w:rsid w:val="00CB0961"/>
    <w:rsid w:val="00CB0A1B"/>
    <w:rsid w:val="00CB67E7"/>
    <w:rsid w:val="00CB6EFC"/>
    <w:rsid w:val="00CB7271"/>
    <w:rsid w:val="00CD37E4"/>
    <w:rsid w:val="00CD3E72"/>
    <w:rsid w:val="00CD705D"/>
    <w:rsid w:val="00CE616D"/>
    <w:rsid w:val="00CF43FA"/>
    <w:rsid w:val="00CF445A"/>
    <w:rsid w:val="00D00FFA"/>
    <w:rsid w:val="00D05298"/>
    <w:rsid w:val="00D230C3"/>
    <w:rsid w:val="00D26B5A"/>
    <w:rsid w:val="00D358B5"/>
    <w:rsid w:val="00D3610A"/>
    <w:rsid w:val="00D41692"/>
    <w:rsid w:val="00D44A76"/>
    <w:rsid w:val="00D4729B"/>
    <w:rsid w:val="00D52D77"/>
    <w:rsid w:val="00D57A1F"/>
    <w:rsid w:val="00D7267D"/>
    <w:rsid w:val="00D75DDC"/>
    <w:rsid w:val="00D771F1"/>
    <w:rsid w:val="00D939F2"/>
    <w:rsid w:val="00D93B27"/>
    <w:rsid w:val="00DB1426"/>
    <w:rsid w:val="00DB4337"/>
    <w:rsid w:val="00DD2BE9"/>
    <w:rsid w:val="00DD4A30"/>
    <w:rsid w:val="00DE311D"/>
    <w:rsid w:val="00DF5CAD"/>
    <w:rsid w:val="00E00EA0"/>
    <w:rsid w:val="00E01088"/>
    <w:rsid w:val="00E03717"/>
    <w:rsid w:val="00E05A5A"/>
    <w:rsid w:val="00E10DB4"/>
    <w:rsid w:val="00E139D5"/>
    <w:rsid w:val="00E36D07"/>
    <w:rsid w:val="00E37E69"/>
    <w:rsid w:val="00E429AF"/>
    <w:rsid w:val="00E5140C"/>
    <w:rsid w:val="00E55BC6"/>
    <w:rsid w:val="00E56224"/>
    <w:rsid w:val="00E57CD0"/>
    <w:rsid w:val="00E65B94"/>
    <w:rsid w:val="00E73535"/>
    <w:rsid w:val="00E742C0"/>
    <w:rsid w:val="00E81369"/>
    <w:rsid w:val="00E819B9"/>
    <w:rsid w:val="00E825FA"/>
    <w:rsid w:val="00E838E0"/>
    <w:rsid w:val="00E84404"/>
    <w:rsid w:val="00E8581F"/>
    <w:rsid w:val="00E94CD1"/>
    <w:rsid w:val="00EB5AB1"/>
    <w:rsid w:val="00EC1F6E"/>
    <w:rsid w:val="00EC1FCA"/>
    <w:rsid w:val="00EC3CAD"/>
    <w:rsid w:val="00EC45FD"/>
    <w:rsid w:val="00EC4826"/>
    <w:rsid w:val="00ED1D51"/>
    <w:rsid w:val="00ED28D9"/>
    <w:rsid w:val="00EF03B5"/>
    <w:rsid w:val="00EF57B2"/>
    <w:rsid w:val="00EF7BB1"/>
    <w:rsid w:val="00F02AF8"/>
    <w:rsid w:val="00F2135C"/>
    <w:rsid w:val="00F54E13"/>
    <w:rsid w:val="00F54F1C"/>
    <w:rsid w:val="00F62935"/>
    <w:rsid w:val="00F62FAB"/>
    <w:rsid w:val="00F65003"/>
    <w:rsid w:val="00F65AC0"/>
    <w:rsid w:val="00F706B1"/>
    <w:rsid w:val="00F73244"/>
    <w:rsid w:val="00F85A93"/>
    <w:rsid w:val="00F9381C"/>
    <w:rsid w:val="00FA6525"/>
    <w:rsid w:val="00FD5200"/>
    <w:rsid w:val="00FE1B6D"/>
    <w:rsid w:val="00FE2D4D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CB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667694"/>
    <w:pPr>
      <w:widowControl/>
      <w:suppressAutoHyphens/>
      <w:autoSpaceDN w:val="0"/>
      <w:spacing w:after="160" w:line="256" w:lineRule="auto"/>
      <w:jc w:val="left"/>
      <w:textAlignment w:val="baseline"/>
    </w:pPr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8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541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541"/>
    <w:rPr>
      <w:rFonts w:ascii="Arial Narrow" w:eastAsia="Calibri" w:hAnsi="Arial Narrow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F2135C"/>
    <w:pPr>
      <w:widowControl w:val="0"/>
      <w:spacing w:after="0" w:line="240" w:lineRule="auto"/>
      <w:jc w:val="both"/>
    </w:pPr>
    <w:rPr>
      <w:rFonts w:ascii="Arial Narrow" w:eastAsia="Calibri" w:hAnsi="Arial Narro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667694"/>
    <w:pPr>
      <w:widowControl/>
      <w:suppressAutoHyphens/>
      <w:autoSpaceDN w:val="0"/>
      <w:spacing w:after="160" w:line="256" w:lineRule="auto"/>
      <w:jc w:val="left"/>
      <w:textAlignment w:val="baseline"/>
    </w:pPr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8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541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541"/>
    <w:rPr>
      <w:rFonts w:ascii="Arial Narrow" w:eastAsia="Calibri" w:hAnsi="Arial Narrow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F2135C"/>
    <w:pPr>
      <w:widowControl w:val="0"/>
      <w:spacing w:after="0" w:line="240" w:lineRule="auto"/>
      <w:jc w:val="both"/>
    </w:pPr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popt.gov.pl/strony/o-programie/promocja-programu/zasady-promocji-i-oznakowania-projekto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9B9C-19E8-4ADC-8915-16F85E00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1391</Words>
  <Characters>8350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Iwona Miedzińska</cp:lastModifiedBy>
  <cp:revision>40</cp:revision>
  <cp:lastPrinted>2016-10-20T11:54:00Z</cp:lastPrinted>
  <dcterms:created xsi:type="dcterms:W3CDTF">2017-04-06T10:28:00Z</dcterms:created>
  <dcterms:modified xsi:type="dcterms:W3CDTF">2017-05-18T06:55:00Z</dcterms:modified>
</cp:coreProperties>
</file>