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92A8D" w14:textId="2721F3D3" w:rsidR="00572C19" w:rsidRPr="00A11BA1" w:rsidRDefault="000F01A5" w:rsidP="00A11BA1">
      <w:pPr>
        <w:spacing w:before="120" w:after="120" w:line="240" w:lineRule="auto"/>
        <w:jc w:val="right"/>
        <w:rPr>
          <w:rFonts w:cs="Times New Roman"/>
          <w:bCs/>
          <w:i/>
          <w:szCs w:val="24"/>
        </w:rPr>
      </w:pPr>
      <w:r>
        <w:rPr>
          <w:rFonts w:cs="Times New Roman"/>
          <w:bCs/>
          <w:i/>
          <w:szCs w:val="24"/>
        </w:rPr>
        <w:t>Załącznik nr 1</w:t>
      </w:r>
      <w:r w:rsidR="00A06AD9">
        <w:rPr>
          <w:rFonts w:cs="Times New Roman"/>
          <w:bCs/>
          <w:i/>
          <w:szCs w:val="24"/>
        </w:rPr>
        <w:t xml:space="preserve"> do Rozeznania cenowego rynku</w:t>
      </w:r>
    </w:p>
    <w:p w14:paraId="67C12F96" w14:textId="77777777" w:rsidR="00A06AD9" w:rsidRDefault="00A06AD9" w:rsidP="00A11BA1">
      <w:pPr>
        <w:spacing w:before="120" w:after="120" w:line="240" w:lineRule="auto"/>
        <w:jc w:val="center"/>
        <w:rPr>
          <w:rFonts w:cs="Times New Roman"/>
          <w:b/>
          <w:bCs/>
          <w:szCs w:val="24"/>
        </w:rPr>
      </w:pPr>
    </w:p>
    <w:p w14:paraId="1D222A08" w14:textId="08CAD104" w:rsidR="00572C19" w:rsidRPr="00A11BA1" w:rsidRDefault="00572C19" w:rsidP="00A11BA1">
      <w:pPr>
        <w:spacing w:before="120" w:after="120" w:line="240" w:lineRule="auto"/>
        <w:jc w:val="center"/>
        <w:rPr>
          <w:rFonts w:cs="Times New Roman"/>
          <w:b/>
          <w:bCs/>
          <w:szCs w:val="24"/>
        </w:rPr>
      </w:pPr>
      <w:r w:rsidRPr="00A11BA1">
        <w:rPr>
          <w:rFonts w:cs="Times New Roman"/>
          <w:b/>
          <w:bCs/>
          <w:szCs w:val="24"/>
        </w:rPr>
        <w:t>OPIS PRZEDMIOTU ZAMÓWIENIA</w:t>
      </w:r>
    </w:p>
    <w:p w14:paraId="753186C8" w14:textId="77777777" w:rsidR="00587A46" w:rsidRPr="00A11BA1" w:rsidRDefault="00587A46" w:rsidP="00A11BA1">
      <w:pPr>
        <w:spacing w:before="120" w:after="120" w:line="240" w:lineRule="auto"/>
        <w:rPr>
          <w:rFonts w:cs="Times New Roman"/>
          <w:b/>
          <w:bCs/>
          <w:szCs w:val="24"/>
        </w:rPr>
      </w:pPr>
    </w:p>
    <w:p w14:paraId="30E45938" w14:textId="175623FC" w:rsidR="004853A6" w:rsidRDefault="00A77086" w:rsidP="00C3032B">
      <w:pPr>
        <w:pStyle w:val="Nagwek1"/>
      </w:pPr>
      <w:r w:rsidRPr="00B54381">
        <w:t>Przedmiotem</w:t>
      </w:r>
      <w:r w:rsidRPr="004853A6">
        <w:t xml:space="preserve"> zamówienia jest </w:t>
      </w:r>
      <w:r w:rsidR="004853A6">
        <w:t xml:space="preserve">dostawa </w:t>
      </w:r>
      <w:r w:rsidR="00FC6F47">
        <w:t xml:space="preserve">fabrycznie nowego </w:t>
      </w:r>
      <w:r w:rsidR="004853A6">
        <w:t xml:space="preserve">routera dostępowego </w:t>
      </w:r>
      <w:r w:rsidR="0059294B">
        <w:t xml:space="preserve">wraz z instalacją </w:t>
      </w:r>
      <w:r w:rsidRPr="004853A6">
        <w:t xml:space="preserve">na potrzeby </w:t>
      </w:r>
      <w:r w:rsidR="00B54381">
        <w:t xml:space="preserve">przyłączenia do </w:t>
      </w:r>
      <w:r w:rsidRPr="004853A6">
        <w:t>sieci GovNet</w:t>
      </w:r>
      <w:r w:rsidR="00B54381">
        <w:t xml:space="preserve">. </w:t>
      </w:r>
      <w:r w:rsidR="0078212F">
        <w:t xml:space="preserve">Przedmiot zamówienia będzie realizowany </w:t>
      </w:r>
      <w:r w:rsidR="00C40E64">
        <w:t xml:space="preserve">na terenie </w:t>
      </w:r>
      <w:r w:rsidR="00B54381">
        <w:t>Warszawy</w:t>
      </w:r>
      <w:r w:rsidR="0078212F">
        <w:t>.</w:t>
      </w:r>
    </w:p>
    <w:p w14:paraId="349E1738" w14:textId="2D4BAFE0" w:rsidR="00855F64" w:rsidRDefault="00855F64" w:rsidP="002E5B6C">
      <w:pPr>
        <w:ind w:left="360"/>
      </w:pPr>
      <w:r>
        <w:t xml:space="preserve">Sieć GovNet działa w technologii MPLS i oparta została o rozwiązania firmy Juniper. </w:t>
      </w:r>
      <w:r>
        <w:br/>
        <w:t xml:space="preserve">W związku z tym </w:t>
      </w:r>
      <w:r w:rsidR="009E79F4">
        <w:t>wymaga</w:t>
      </w:r>
      <w:r>
        <w:t>ne jest aby kolejne węzły tej sieci budowane były w oparciu o takie</w:t>
      </w:r>
      <w:r>
        <w:br/>
        <w:t>same rozwiązania technologiczne tej firmy tworząc homogeniczność sieci, umożliwiając</w:t>
      </w:r>
      <w:r>
        <w:br/>
        <w:t>tym samym bezproblemowe podłączenie nowych urządzeń do już funkcjonującej</w:t>
      </w:r>
      <w:r>
        <w:br/>
        <w:t>produkcyjnie sieci, jak również zarządzanie tak rozbudowaną infrastrukturą przy użyciu</w:t>
      </w:r>
      <w:r>
        <w:br/>
        <w:t>posiadanego przez MSWiA systemu zarządzania urządzeniami MPLS firmy Juniper –</w:t>
      </w:r>
      <w:r>
        <w:br/>
        <w:t>JunosSpace. Pozwoli to na bezproblemowe kreowanie usług, monitorowanie stanu</w:t>
      </w:r>
      <w:r>
        <w:br/>
        <w:t>produkcyjnych połączeń pomiędzy wszystkimi węzłami oraz użytkownikami, dając</w:t>
      </w:r>
      <w:r>
        <w:br/>
        <w:t>możliwość szybkiego reagowania na zgłoszenia od użytkowników. Rekomendowane</w:t>
      </w:r>
      <w:r>
        <w:br/>
        <w:t>urządzenie to router dostępowy Juniper</w:t>
      </w:r>
      <w:r w:rsidRPr="00855F64">
        <w:t xml:space="preserve"> </w:t>
      </w:r>
      <w:r>
        <w:t>ACX2200.</w:t>
      </w:r>
    </w:p>
    <w:p w14:paraId="76A8139E" w14:textId="0D45BF1C" w:rsidR="00C40E64" w:rsidRDefault="00C40E64" w:rsidP="00C3032B">
      <w:pPr>
        <w:pStyle w:val="Nagwek1"/>
      </w:pPr>
      <w:r>
        <w:t>Parametry techniczne routera dostępowego.</w:t>
      </w:r>
    </w:p>
    <w:p w14:paraId="13F06A9E" w14:textId="5C4605C3" w:rsidR="00E70977" w:rsidRDefault="002B6663" w:rsidP="00C3032B">
      <w:pPr>
        <w:pStyle w:val="Nagwek2"/>
      </w:pPr>
      <w:r>
        <w:t>W</w:t>
      </w:r>
      <w:r w:rsidR="005227AF" w:rsidRPr="005227AF">
        <w:t>yposażony w minimum</w:t>
      </w:r>
      <w:r w:rsidR="00E70977">
        <w:t>:</w:t>
      </w:r>
    </w:p>
    <w:p w14:paraId="22B0644F" w14:textId="177B9F40" w:rsidR="00E70977" w:rsidRDefault="005227AF" w:rsidP="00C3032B">
      <w:pPr>
        <w:pStyle w:val="Akapitzlist"/>
        <w:numPr>
          <w:ilvl w:val="0"/>
          <w:numId w:val="27"/>
        </w:numPr>
      </w:pPr>
      <w:r w:rsidRPr="005227AF">
        <w:t xml:space="preserve">8 portów 10/100/1000BaseT (w tym </w:t>
      </w:r>
      <w:r w:rsidR="00C227EF">
        <w:t xml:space="preserve">co najmniej 4 typu </w:t>
      </w:r>
      <w:r w:rsidRPr="005227AF">
        <w:t xml:space="preserve">combo/dual personality RJ45/SFP), </w:t>
      </w:r>
    </w:p>
    <w:p w14:paraId="0F8C9732" w14:textId="77777777" w:rsidR="00E70977" w:rsidRDefault="005227AF" w:rsidP="00C3032B">
      <w:pPr>
        <w:pStyle w:val="Akapitzlist"/>
        <w:numPr>
          <w:ilvl w:val="0"/>
          <w:numId w:val="27"/>
        </w:numPr>
      </w:pPr>
      <w:r w:rsidRPr="005227AF">
        <w:t>2 po</w:t>
      </w:r>
      <w:r w:rsidR="00C227EF">
        <w:t>r</w:t>
      </w:r>
      <w:r w:rsidRPr="005227AF">
        <w:t>ty 10 Gigabit Ethernet SFP+</w:t>
      </w:r>
      <w:r w:rsidR="00E70977">
        <w:t>,</w:t>
      </w:r>
    </w:p>
    <w:p w14:paraId="49B4FCF8" w14:textId="7C990555" w:rsidR="005227AF" w:rsidRPr="005227AF" w:rsidRDefault="00E70977" w:rsidP="00C3032B">
      <w:pPr>
        <w:pStyle w:val="Akapitzlist"/>
        <w:numPr>
          <w:ilvl w:val="0"/>
          <w:numId w:val="27"/>
        </w:numPr>
      </w:pPr>
      <w:r>
        <w:t xml:space="preserve">2 </w:t>
      </w:r>
      <w:r w:rsidRPr="005227AF">
        <w:t>wkładki SFP 1000Base-LR</w:t>
      </w:r>
      <w:r>
        <w:t xml:space="preserve"> kompatybilne z routerem.</w:t>
      </w:r>
    </w:p>
    <w:p w14:paraId="3F59824C" w14:textId="683CF400" w:rsidR="005227AF" w:rsidRPr="005227AF" w:rsidRDefault="002B6663" w:rsidP="00C3032B">
      <w:pPr>
        <w:pStyle w:val="Nagwek2"/>
      </w:pPr>
      <w:r>
        <w:t>P</w:t>
      </w:r>
      <w:r w:rsidR="005227AF" w:rsidRPr="005227AF">
        <w:t>osiada pasywne chłodzenie oraz umożliwia pracę w rozszerzonym zakresie temperatur -40⁰ do 65⁰C.</w:t>
      </w:r>
    </w:p>
    <w:p w14:paraId="67E86D08" w14:textId="6D4307F3" w:rsidR="005227AF" w:rsidRPr="005227AF" w:rsidRDefault="005227AF" w:rsidP="00C3032B">
      <w:pPr>
        <w:pStyle w:val="Nagwek2"/>
      </w:pPr>
      <w:r w:rsidRPr="005227AF">
        <w:t>Interfejsy wyposażone w gniazda SFP muszą umożliwiać ich obsadzenie modułami SFP typu 1000Base-T, 1000Base-SX, 1000Base-LX/LH/ZX, 1000Base-BX zależnie od potrzeb Zamawiającego.</w:t>
      </w:r>
    </w:p>
    <w:p w14:paraId="5AABBA6D" w14:textId="3AB71778" w:rsidR="005227AF" w:rsidRDefault="005227AF" w:rsidP="00C3032B">
      <w:pPr>
        <w:pStyle w:val="Nagwek2"/>
      </w:pPr>
      <w:r w:rsidRPr="005227AF">
        <w:t>Porty SFP+ muszą umożliwiać ich obsadzenie modułami SFP+ typu 10GBase-SR, 10GBase-LR, 10GBase-LRM.</w:t>
      </w:r>
    </w:p>
    <w:p w14:paraId="1D0C3BAD" w14:textId="10A056E4" w:rsidR="00E70977" w:rsidRPr="00E70977" w:rsidRDefault="00E70977" w:rsidP="00C3032B">
      <w:pPr>
        <w:pStyle w:val="Nagwek2"/>
      </w:pPr>
      <w:r>
        <w:t>M</w:t>
      </w:r>
      <w:r w:rsidRPr="005227AF">
        <w:t xml:space="preserve">oduły SFP/SFP+ oferowane wraz z urządzeniem </w:t>
      </w:r>
      <w:r>
        <w:t>muszą pochodzić</w:t>
      </w:r>
      <w:r w:rsidRPr="005227AF">
        <w:t xml:space="preserve"> od tego</w:t>
      </w:r>
      <w:r>
        <w:t xml:space="preserve"> </w:t>
      </w:r>
      <w:r w:rsidRPr="001C02D5">
        <w:t xml:space="preserve">samego producenta co </w:t>
      </w:r>
      <w:r>
        <w:t>router</w:t>
      </w:r>
      <w:r w:rsidRPr="001C02D5">
        <w:t xml:space="preserve"> celem uniknięcia problemów z serwisowaniem urządzeń.</w:t>
      </w:r>
    </w:p>
    <w:p w14:paraId="0862DCAA" w14:textId="1E153478" w:rsidR="005227AF" w:rsidRPr="005227AF" w:rsidRDefault="002B6663" w:rsidP="00C3032B">
      <w:pPr>
        <w:pStyle w:val="Nagwek2"/>
      </w:pPr>
      <w:r>
        <w:t>Z</w:t>
      </w:r>
      <w:r w:rsidR="005227AF" w:rsidRPr="005227AF">
        <w:t xml:space="preserve">apewnia możliwość routingu </w:t>
      </w:r>
      <w:r w:rsidR="00C40E64">
        <w:t xml:space="preserve">adresów </w:t>
      </w:r>
      <w:r w:rsidR="005227AF" w:rsidRPr="005227AF">
        <w:t>IPv4/IPv6/MPLS z przepustowości</w:t>
      </w:r>
      <w:r>
        <w:t>ą</w:t>
      </w:r>
      <w:r w:rsidR="005227AF" w:rsidRPr="005227AF">
        <w:t xml:space="preserve"> min. 60Gb/s</w:t>
      </w:r>
      <w:r>
        <w:t>.</w:t>
      </w:r>
    </w:p>
    <w:p w14:paraId="53B8284B" w14:textId="2E8A97F1" w:rsidR="005227AF" w:rsidRPr="001C02D5" w:rsidRDefault="002B6663" w:rsidP="00C3032B">
      <w:pPr>
        <w:pStyle w:val="Nagwek2"/>
      </w:pPr>
      <w:r>
        <w:t>O</w:t>
      </w:r>
      <w:r w:rsidR="00C40E64">
        <w:t>bsług</w:t>
      </w:r>
      <w:r>
        <w:t>uje</w:t>
      </w:r>
      <w:r w:rsidR="005227AF" w:rsidRPr="001C02D5">
        <w:t xml:space="preserve"> minimum:</w:t>
      </w:r>
    </w:p>
    <w:p w14:paraId="5AEEAA79" w14:textId="15F3C2CF" w:rsidR="005227AF" w:rsidRPr="005227AF" w:rsidRDefault="005227AF" w:rsidP="00C3032B">
      <w:pPr>
        <w:pStyle w:val="Nagwek3"/>
        <w:numPr>
          <w:ilvl w:val="0"/>
          <w:numId w:val="15"/>
        </w:numPr>
        <w:rPr>
          <w:bCs/>
        </w:rPr>
      </w:pPr>
      <w:r w:rsidRPr="005227AF">
        <w:rPr>
          <w:bCs/>
        </w:rPr>
        <w:t>20 000 prefiksów IPv4</w:t>
      </w:r>
      <w:r w:rsidR="002B6663">
        <w:rPr>
          <w:bCs/>
        </w:rPr>
        <w:t>,</w:t>
      </w:r>
    </w:p>
    <w:p w14:paraId="110ECD02" w14:textId="438532E6" w:rsidR="005227AF" w:rsidRPr="005227AF" w:rsidRDefault="005227AF" w:rsidP="00C3032B">
      <w:pPr>
        <w:pStyle w:val="Nagwek3"/>
        <w:numPr>
          <w:ilvl w:val="0"/>
          <w:numId w:val="15"/>
        </w:numPr>
        <w:rPr>
          <w:bCs/>
        </w:rPr>
      </w:pPr>
      <w:r w:rsidRPr="005227AF">
        <w:rPr>
          <w:bCs/>
        </w:rPr>
        <w:t>64 wirtualnych tablic routingu</w:t>
      </w:r>
      <w:r w:rsidR="002B6663">
        <w:rPr>
          <w:bCs/>
        </w:rPr>
        <w:t>.</w:t>
      </w:r>
    </w:p>
    <w:p w14:paraId="7FDB9286" w14:textId="21DA5197" w:rsidR="005227AF" w:rsidRPr="005227AF" w:rsidRDefault="002B6663" w:rsidP="00C3032B">
      <w:pPr>
        <w:pStyle w:val="Nagwek2"/>
      </w:pPr>
      <w:r>
        <w:t>P</w:t>
      </w:r>
      <w:r w:rsidR="005227AF" w:rsidRPr="005227AF">
        <w:t>osiada certyfikację MEF CE 2.0 Compliant.</w:t>
      </w:r>
    </w:p>
    <w:p w14:paraId="259125DA" w14:textId="4F78CF0B" w:rsidR="005227AF" w:rsidRPr="005227AF" w:rsidRDefault="005227AF" w:rsidP="00C3032B">
      <w:pPr>
        <w:pStyle w:val="Nagwek1"/>
      </w:pPr>
      <w:r w:rsidRPr="005227AF">
        <w:lastRenderedPageBreak/>
        <w:t>Oprogramowanie/funkcjonalnoś</w:t>
      </w:r>
      <w:r w:rsidR="002B6663">
        <w:t>ci routera dostępowego</w:t>
      </w:r>
    </w:p>
    <w:p w14:paraId="34BCFC0F" w14:textId="1E20CB9B" w:rsidR="002B6663" w:rsidRDefault="005227AF" w:rsidP="00C3032B">
      <w:pPr>
        <w:pStyle w:val="Nagwek2"/>
      </w:pPr>
      <w:r w:rsidRPr="005227AF">
        <w:t>Obsług</w:t>
      </w:r>
      <w:r w:rsidR="00C227EF">
        <w:t>uje</w:t>
      </w:r>
      <w:r w:rsidRPr="005227AF">
        <w:t xml:space="preserve"> protokoł</w:t>
      </w:r>
      <w:r w:rsidR="002B6663">
        <w:t>ów:</w:t>
      </w:r>
    </w:p>
    <w:p w14:paraId="095E76E0" w14:textId="6B2FBF5D" w:rsidR="002B6663" w:rsidRPr="005227AF" w:rsidRDefault="005227AF" w:rsidP="00C3032B">
      <w:pPr>
        <w:pStyle w:val="Akapitzlist"/>
        <w:numPr>
          <w:ilvl w:val="0"/>
          <w:numId w:val="18"/>
        </w:numPr>
      </w:pPr>
      <w:r w:rsidRPr="005227AF">
        <w:t>NTP</w:t>
      </w:r>
      <w:r w:rsidR="002B6663">
        <w:t>,</w:t>
      </w:r>
    </w:p>
    <w:p w14:paraId="7CC51E26" w14:textId="21CD4C9F" w:rsidR="005227AF" w:rsidRDefault="005227AF" w:rsidP="00C3032B">
      <w:pPr>
        <w:pStyle w:val="Akapitzlist"/>
        <w:numPr>
          <w:ilvl w:val="0"/>
          <w:numId w:val="18"/>
        </w:numPr>
      </w:pPr>
      <w:r w:rsidRPr="005227AF">
        <w:t>IGMPv1, v2 oraz V3</w:t>
      </w:r>
      <w:r w:rsidR="002B6663">
        <w:t>,</w:t>
      </w:r>
    </w:p>
    <w:p w14:paraId="412DECD6" w14:textId="06F9DE67" w:rsidR="002B6663" w:rsidRPr="005227AF" w:rsidRDefault="002B6663" w:rsidP="00C3032B">
      <w:pPr>
        <w:pStyle w:val="Akapitzlist"/>
        <w:numPr>
          <w:ilvl w:val="0"/>
          <w:numId w:val="18"/>
        </w:numPr>
      </w:pPr>
      <w:r>
        <w:t>LLDP.</w:t>
      </w:r>
    </w:p>
    <w:p w14:paraId="312288DF" w14:textId="6EC2B516" w:rsidR="005227AF" w:rsidRPr="005227AF" w:rsidRDefault="002B6663" w:rsidP="00C3032B">
      <w:pPr>
        <w:pStyle w:val="Nagwek2"/>
      </w:pPr>
      <w:r>
        <w:t>W</w:t>
      </w:r>
      <w:r w:rsidR="005227AF" w:rsidRPr="005227AF">
        <w:t>spiera następujące mechanizmy związane z zapewnieniem ciągłości pracy sieci:</w:t>
      </w:r>
    </w:p>
    <w:p w14:paraId="14E9B09A" w14:textId="1440625F" w:rsidR="005227AF" w:rsidRPr="005227AF" w:rsidRDefault="005227AF" w:rsidP="00C3032B">
      <w:pPr>
        <w:pStyle w:val="Akapitzlist"/>
        <w:numPr>
          <w:ilvl w:val="0"/>
          <w:numId w:val="17"/>
        </w:numPr>
      </w:pPr>
      <w:r w:rsidRPr="005227AF">
        <w:t>IEEE 802.1w Rapid Spanning Tree</w:t>
      </w:r>
      <w:r w:rsidR="002B6663">
        <w:t>,</w:t>
      </w:r>
    </w:p>
    <w:p w14:paraId="6428B266" w14:textId="4590E4FD" w:rsidR="005227AF" w:rsidRPr="002B6663" w:rsidRDefault="005227AF" w:rsidP="00C3032B">
      <w:pPr>
        <w:pStyle w:val="Akapitzlist"/>
        <w:numPr>
          <w:ilvl w:val="0"/>
          <w:numId w:val="17"/>
        </w:numPr>
        <w:rPr>
          <w:lang w:val="en-GB"/>
        </w:rPr>
      </w:pPr>
      <w:r w:rsidRPr="002B6663">
        <w:rPr>
          <w:lang w:val="en-GB"/>
        </w:rPr>
        <w:t>IEEE 802.1s Multi-Instance Spanning Tree</w:t>
      </w:r>
      <w:r w:rsidR="002B6663">
        <w:rPr>
          <w:lang w:val="en-GB"/>
        </w:rPr>
        <w:t>.</w:t>
      </w:r>
    </w:p>
    <w:p w14:paraId="225D9600" w14:textId="38A76BA3" w:rsidR="005227AF" w:rsidRPr="005227AF" w:rsidRDefault="002B6663" w:rsidP="00C3032B">
      <w:pPr>
        <w:pStyle w:val="Nagwek2"/>
        <w:rPr>
          <w:bCs/>
        </w:rPr>
      </w:pPr>
      <w:r>
        <w:rPr>
          <w:bCs/>
        </w:rPr>
        <w:t>W</w:t>
      </w:r>
      <w:r w:rsidR="005227AF" w:rsidRPr="005227AF">
        <w:rPr>
          <w:bCs/>
        </w:rPr>
        <w:t>sp</w:t>
      </w:r>
      <w:r>
        <w:rPr>
          <w:bCs/>
        </w:rPr>
        <w:t>iera</w:t>
      </w:r>
      <w:r w:rsidR="005227AF" w:rsidRPr="005227AF">
        <w:rPr>
          <w:bCs/>
        </w:rPr>
        <w:t xml:space="preserve"> </w:t>
      </w:r>
      <w:r>
        <w:rPr>
          <w:bCs/>
        </w:rPr>
        <w:t xml:space="preserve">standard IEEE </w:t>
      </w:r>
      <w:r w:rsidR="005227AF" w:rsidRPr="005227AF">
        <w:rPr>
          <w:bCs/>
        </w:rPr>
        <w:t xml:space="preserve">802.1q i </w:t>
      </w:r>
      <w:r>
        <w:rPr>
          <w:bCs/>
        </w:rPr>
        <w:t xml:space="preserve">IEEE </w:t>
      </w:r>
      <w:r w:rsidR="005227AF" w:rsidRPr="005227AF">
        <w:rPr>
          <w:bCs/>
        </w:rPr>
        <w:t>802.1ad oraz umożliwiać elastyczną możliwość manipulacji VLAN ID</w:t>
      </w:r>
    </w:p>
    <w:p w14:paraId="7B50331F" w14:textId="6A6D7A91" w:rsidR="005227AF" w:rsidRPr="005227AF" w:rsidRDefault="005227AF" w:rsidP="00C3032B">
      <w:pPr>
        <w:pStyle w:val="Nagwek2"/>
      </w:pPr>
      <w:r w:rsidRPr="005227AF">
        <w:t>Obsług</w:t>
      </w:r>
      <w:r w:rsidR="002B6663">
        <w:t>uje</w:t>
      </w:r>
      <w:r w:rsidRPr="005227AF">
        <w:t xml:space="preserve"> mechanizm</w:t>
      </w:r>
      <w:r w:rsidR="002B6663">
        <w:t>y</w:t>
      </w:r>
      <w:r w:rsidRPr="005227AF">
        <w:t xml:space="preserve"> ERPS G.8032v1 i v2</w:t>
      </w:r>
    </w:p>
    <w:p w14:paraId="4EC62425" w14:textId="44E03AF6" w:rsidR="005227AF" w:rsidRPr="005227AF" w:rsidRDefault="002B6663" w:rsidP="00C3032B">
      <w:pPr>
        <w:pStyle w:val="Nagwek2"/>
      </w:pPr>
      <w:r>
        <w:t>W</w:t>
      </w:r>
      <w:r w:rsidR="005227AF" w:rsidRPr="005227AF">
        <w:t>spiera następujące mechanizmy MPLS:</w:t>
      </w:r>
    </w:p>
    <w:p w14:paraId="22659142" w14:textId="43169D73" w:rsidR="005227AF" w:rsidRPr="005227AF" w:rsidRDefault="007B01BA" w:rsidP="00C3032B">
      <w:pPr>
        <w:pStyle w:val="Akapitzlist"/>
        <w:numPr>
          <w:ilvl w:val="0"/>
          <w:numId w:val="19"/>
        </w:numPr>
      </w:pPr>
      <w:r>
        <w:t>o</w:t>
      </w:r>
      <w:r w:rsidR="005227AF" w:rsidRPr="005227AF">
        <w:t>bsługę protokołów dystrybucji etykiet LDP i RSVP</w:t>
      </w:r>
    </w:p>
    <w:p w14:paraId="2D826772" w14:textId="6F80F20F" w:rsidR="005227AF" w:rsidRPr="005227AF" w:rsidRDefault="007B01BA" w:rsidP="00C3032B">
      <w:pPr>
        <w:pStyle w:val="Akapitzlist"/>
        <w:numPr>
          <w:ilvl w:val="0"/>
          <w:numId w:val="19"/>
        </w:numPr>
      </w:pPr>
      <w:r>
        <w:t>w</w:t>
      </w:r>
      <w:r w:rsidR="005227AF" w:rsidRPr="005227AF">
        <w:t>sparcie dla mechanizmów RSVP FRR i MPLS-TE</w:t>
      </w:r>
    </w:p>
    <w:p w14:paraId="7EC74B6A" w14:textId="7B54527D" w:rsidR="005227AF" w:rsidRPr="005227AF" w:rsidRDefault="007B01BA" w:rsidP="00C3032B">
      <w:pPr>
        <w:pStyle w:val="Akapitzlist"/>
        <w:numPr>
          <w:ilvl w:val="0"/>
          <w:numId w:val="19"/>
        </w:numPr>
      </w:pPr>
      <w:r>
        <w:t>w</w:t>
      </w:r>
      <w:r w:rsidR="005227AF" w:rsidRPr="005227AF">
        <w:t>sparcie dla mechanizmów IP-FRR/local repair dla OSPF i ISIS</w:t>
      </w:r>
    </w:p>
    <w:p w14:paraId="3EA51AE4" w14:textId="6FF7C0AC" w:rsidR="005227AF" w:rsidRPr="005227AF" w:rsidRDefault="007B01BA" w:rsidP="00C3032B">
      <w:pPr>
        <w:pStyle w:val="Akapitzlist"/>
        <w:numPr>
          <w:ilvl w:val="0"/>
          <w:numId w:val="19"/>
        </w:numPr>
      </w:pPr>
      <w:r>
        <w:t>w</w:t>
      </w:r>
      <w:r w:rsidR="005227AF" w:rsidRPr="005227AF">
        <w:t>sparcie dla BGP-LU</w:t>
      </w:r>
    </w:p>
    <w:p w14:paraId="5F05808E" w14:textId="0EA77C33" w:rsidR="005227AF" w:rsidRPr="005227AF" w:rsidRDefault="005227AF" w:rsidP="00C3032B">
      <w:pPr>
        <w:pStyle w:val="Nagwek2"/>
      </w:pPr>
      <w:r w:rsidRPr="005227AF">
        <w:t>Możliwość uruchomienia następujących usług MPLS</w:t>
      </w:r>
      <w:r w:rsidR="007B01BA">
        <w:t>:</w:t>
      </w:r>
    </w:p>
    <w:p w14:paraId="7121BEB8" w14:textId="6446EA8A" w:rsidR="005227AF" w:rsidRPr="005227AF" w:rsidRDefault="007B01BA" w:rsidP="00C3032B">
      <w:pPr>
        <w:pStyle w:val="Akapitzlist"/>
        <w:numPr>
          <w:ilvl w:val="0"/>
          <w:numId w:val="21"/>
        </w:numPr>
      </w:pPr>
      <w:r>
        <w:t>u</w:t>
      </w:r>
      <w:r w:rsidR="005227AF" w:rsidRPr="005227AF">
        <w:t>sług typu Pseudowire Emulation PWE (T-LDP)</w:t>
      </w:r>
      <w:r>
        <w:t>;</w:t>
      </w:r>
    </w:p>
    <w:p w14:paraId="369E91B4" w14:textId="0FA09CEF" w:rsidR="005227AF" w:rsidRPr="005227AF" w:rsidRDefault="005227AF" w:rsidP="00C3032B">
      <w:pPr>
        <w:pStyle w:val="Akapitzlist"/>
        <w:numPr>
          <w:ilvl w:val="0"/>
          <w:numId w:val="21"/>
        </w:numPr>
      </w:pPr>
      <w:r w:rsidRPr="005227AF">
        <w:t>L2VPN w oparciu o sygnalizację z wykorzystaniem protokołu BGP</w:t>
      </w:r>
      <w:r w:rsidR="007B01BA">
        <w:t>;</w:t>
      </w:r>
    </w:p>
    <w:p w14:paraId="7C487FC7" w14:textId="1FB12669" w:rsidR="005227AF" w:rsidRPr="005227AF" w:rsidRDefault="005227AF" w:rsidP="00C3032B">
      <w:pPr>
        <w:pStyle w:val="Akapitzlist"/>
        <w:numPr>
          <w:ilvl w:val="0"/>
          <w:numId w:val="21"/>
        </w:numPr>
      </w:pPr>
      <w:r w:rsidRPr="005227AF">
        <w:t>L3VPN w oparciu o sygnalizację z wykorzystaniem protokołu BGP</w:t>
      </w:r>
      <w:r w:rsidR="007B01BA">
        <w:t>.</w:t>
      </w:r>
    </w:p>
    <w:p w14:paraId="045AE9E3" w14:textId="1A7CFA57" w:rsidR="005227AF" w:rsidRPr="005227AF" w:rsidRDefault="007B01BA" w:rsidP="00C3032B">
      <w:pPr>
        <w:pStyle w:val="Nagwek2"/>
      </w:pPr>
      <w:r>
        <w:t>W</w:t>
      </w:r>
      <w:r w:rsidR="005227AF" w:rsidRPr="005227AF">
        <w:t>spiera następujące mechanizmy związane z routingiem IPv4/IPv6:</w:t>
      </w:r>
    </w:p>
    <w:p w14:paraId="2ECB4EDB" w14:textId="479CABDB" w:rsidR="005227AF" w:rsidRPr="00C3032B" w:rsidRDefault="007B01BA" w:rsidP="00C3032B">
      <w:pPr>
        <w:pStyle w:val="Akapitzlist"/>
        <w:numPr>
          <w:ilvl w:val="0"/>
          <w:numId w:val="22"/>
        </w:numPr>
      </w:pPr>
      <w:r w:rsidRPr="00C3032B">
        <w:t>o</w:t>
      </w:r>
      <w:r w:rsidR="005227AF" w:rsidRPr="00C3032B">
        <w:t>bsługa OSPFv2 i OSPFv3 (min. 250 routerów per area)</w:t>
      </w:r>
      <w:r>
        <w:t>;</w:t>
      </w:r>
    </w:p>
    <w:p w14:paraId="489CF389" w14:textId="38AD3B61" w:rsidR="005227AF" w:rsidRPr="00C3032B" w:rsidRDefault="007B01BA" w:rsidP="00C3032B">
      <w:pPr>
        <w:pStyle w:val="Akapitzlist"/>
        <w:numPr>
          <w:ilvl w:val="0"/>
          <w:numId w:val="22"/>
        </w:numPr>
      </w:pPr>
      <w:r>
        <w:t>o</w:t>
      </w:r>
      <w:r w:rsidR="005227AF" w:rsidRPr="00C3032B">
        <w:t>bsługa ISIS (min. 250 routerów per area)</w:t>
      </w:r>
      <w:r>
        <w:t>;</w:t>
      </w:r>
    </w:p>
    <w:p w14:paraId="4837AFA7" w14:textId="6B199F89" w:rsidR="005227AF" w:rsidRPr="007B01BA" w:rsidRDefault="007B01BA" w:rsidP="00C3032B">
      <w:pPr>
        <w:pStyle w:val="Akapitzlist"/>
        <w:numPr>
          <w:ilvl w:val="0"/>
          <w:numId w:val="22"/>
        </w:numPr>
      </w:pPr>
      <w:r>
        <w:t>o</w:t>
      </w:r>
      <w:r w:rsidR="005227AF" w:rsidRPr="007B01BA">
        <w:t>bsługa MP BGP (min. 250 sąsiedztw)</w:t>
      </w:r>
      <w:r>
        <w:t>;</w:t>
      </w:r>
    </w:p>
    <w:p w14:paraId="1B5A6E31" w14:textId="08F88758" w:rsidR="005227AF" w:rsidRPr="007B01BA" w:rsidRDefault="007B01BA" w:rsidP="00C3032B">
      <w:pPr>
        <w:pStyle w:val="Akapitzlist"/>
        <w:numPr>
          <w:ilvl w:val="0"/>
          <w:numId w:val="22"/>
        </w:numPr>
      </w:pPr>
      <w:r>
        <w:t>w</w:t>
      </w:r>
      <w:r w:rsidR="005227AF" w:rsidRPr="007B01BA">
        <w:t>sparcie dla ECMP z wykorzystaniem informacji L2-L4</w:t>
      </w:r>
      <w:r>
        <w:t>,;</w:t>
      </w:r>
    </w:p>
    <w:p w14:paraId="7741FD14" w14:textId="296A1A8C" w:rsidR="005227AF" w:rsidRPr="007B01BA" w:rsidRDefault="007B01BA" w:rsidP="00C3032B">
      <w:pPr>
        <w:pStyle w:val="Akapitzlist"/>
        <w:numPr>
          <w:ilvl w:val="0"/>
          <w:numId w:val="22"/>
        </w:numPr>
      </w:pPr>
      <w:r>
        <w:t>o</w:t>
      </w:r>
      <w:r w:rsidR="005227AF" w:rsidRPr="007B01BA">
        <w:t>bsługa BFD z obsługą min. 30@10 ms i 256@100 ms</w:t>
      </w:r>
      <w:r>
        <w:t>;</w:t>
      </w:r>
    </w:p>
    <w:p w14:paraId="3996D9B5" w14:textId="3A6A3E36" w:rsidR="005227AF" w:rsidRPr="007B01BA" w:rsidRDefault="007B01BA" w:rsidP="00C3032B">
      <w:pPr>
        <w:pStyle w:val="Akapitzlist"/>
        <w:numPr>
          <w:ilvl w:val="0"/>
          <w:numId w:val="22"/>
        </w:numPr>
      </w:pPr>
      <w:r>
        <w:t>w</w:t>
      </w:r>
      <w:r w:rsidR="005227AF" w:rsidRPr="007B01BA">
        <w:t>sparcie dla mechanizmów unicast Reverse Path Forwarding</w:t>
      </w:r>
      <w:r>
        <w:t>.</w:t>
      </w:r>
    </w:p>
    <w:p w14:paraId="6B2ACEE4" w14:textId="3BCE2BFF" w:rsidR="005227AF" w:rsidRPr="0059294B" w:rsidRDefault="005227AF" w:rsidP="00C3032B">
      <w:pPr>
        <w:pStyle w:val="Nagwek2"/>
      </w:pPr>
      <w:r w:rsidRPr="0059294B">
        <w:t>Wsp</w:t>
      </w:r>
      <w:r w:rsidR="007B01BA">
        <w:t>iera</w:t>
      </w:r>
      <w:r w:rsidRPr="0059294B">
        <w:t xml:space="preserve"> mechanizm</w:t>
      </w:r>
      <w:r w:rsidR="00C227EF">
        <w:t>y</w:t>
      </w:r>
      <w:r w:rsidRPr="0059294B">
        <w:t xml:space="preserve"> QoS</w:t>
      </w:r>
      <w:r w:rsidR="007B01BA">
        <w:t>, w tym:</w:t>
      </w:r>
    </w:p>
    <w:p w14:paraId="644FEE5F" w14:textId="6F7A9A0B" w:rsidR="005227AF" w:rsidRPr="005227AF" w:rsidRDefault="007B01BA" w:rsidP="00C3032B">
      <w:pPr>
        <w:pStyle w:val="Akapitzlist"/>
        <w:numPr>
          <w:ilvl w:val="0"/>
          <w:numId w:val="24"/>
        </w:numPr>
      </w:pPr>
      <w:r>
        <w:t>m</w:t>
      </w:r>
      <w:r w:rsidR="005227AF" w:rsidRPr="005227AF">
        <w:t>ożliwość obsługi jednej z powyżej wspomnianych kolejek z bezwzględnym priorytetem w stosunku do innych (Strict Priority)</w:t>
      </w:r>
      <w:r>
        <w:t>;</w:t>
      </w:r>
    </w:p>
    <w:p w14:paraId="6978A1EE" w14:textId="4D7491FB" w:rsidR="005227AF" w:rsidRPr="005227AF" w:rsidRDefault="007B01BA" w:rsidP="00C3032B">
      <w:pPr>
        <w:pStyle w:val="Akapitzlist"/>
        <w:numPr>
          <w:ilvl w:val="0"/>
          <w:numId w:val="24"/>
        </w:numPr>
      </w:pPr>
      <w:r>
        <w:t>k</w:t>
      </w:r>
      <w:r w:rsidR="005227AF" w:rsidRPr="005227AF">
        <w:t>lasyfikacja ruchu do klas różnej jakości obsługi (QoS) poprzez wykorzystanie następujących parametrów L2-L4</w:t>
      </w:r>
      <w:r>
        <w:t>;</w:t>
      </w:r>
    </w:p>
    <w:p w14:paraId="53E9051F" w14:textId="06F65EFF" w:rsidR="005227AF" w:rsidRPr="005227AF" w:rsidRDefault="007B01BA" w:rsidP="00C3032B">
      <w:pPr>
        <w:pStyle w:val="Akapitzlist"/>
        <w:numPr>
          <w:ilvl w:val="0"/>
          <w:numId w:val="24"/>
        </w:numPr>
      </w:pPr>
      <w:r>
        <w:t>m</w:t>
      </w:r>
      <w:r w:rsidR="005227AF" w:rsidRPr="005227AF">
        <w:t>ożliwość ograniczania pasma dostępnego na danym porcie dla ruchu o danej klasie</w:t>
      </w:r>
      <w:r>
        <w:t>;</w:t>
      </w:r>
    </w:p>
    <w:p w14:paraId="2D76520D" w14:textId="34A70BC5" w:rsidR="005227AF" w:rsidRPr="005227AF" w:rsidRDefault="007B01BA" w:rsidP="00C3032B">
      <w:pPr>
        <w:pStyle w:val="Akapitzlist"/>
        <w:numPr>
          <w:ilvl w:val="0"/>
          <w:numId w:val="24"/>
        </w:numPr>
      </w:pPr>
      <w:r>
        <w:t>k</w:t>
      </w:r>
      <w:r w:rsidR="005227AF" w:rsidRPr="005227AF">
        <w:t>ontrola sztormów dla ruchu broadcast/multicast/unicast</w:t>
      </w:r>
      <w:r>
        <w:t>;</w:t>
      </w:r>
    </w:p>
    <w:p w14:paraId="2F3683C2" w14:textId="1E949EFD" w:rsidR="005227AF" w:rsidRPr="005227AF" w:rsidRDefault="007B01BA" w:rsidP="00C3032B">
      <w:pPr>
        <w:pStyle w:val="Akapitzlist"/>
        <w:numPr>
          <w:ilvl w:val="0"/>
          <w:numId w:val="24"/>
        </w:numPr>
      </w:pPr>
      <w:r>
        <w:t>m</w:t>
      </w:r>
      <w:r w:rsidR="005227AF" w:rsidRPr="005227AF">
        <w:t xml:space="preserve">ożliwość zmiany przez urządzenie kodu wartości QoS zawartego w ramce </w:t>
      </w:r>
      <w:r w:rsidR="005227AF">
        <w:t xml:space="preserve">         </w:t>
      </w:r>
      <w:r w:rsidR="005227AF" w:rsidRPr="005227AF">
        <w:t>Ethernet lub pakiecie IP – poprzez zmianę pola 802.1p (CoS) oraz IP ToS/DSCP, MPLS EXP/TOS bits</w:t>
      </w:r>
      <w:r>
        <w:t>;</w:t>
      </w:r>
    </w:p>
    <w:p w14:paraId="3B3F4161" w14:textId="1DE355F9" w:rsidR="005227AF" w:rsidRPr="005227AF" w:rsidRDefault="007B01BA" w:rsidP="00C3032B">
      <w:pPr>
        <w:pStyle w:val="Akapitzlist"/>
        <w:numPr>
          <w:ilvl w:val="0"/>
          <w:numId w:val="24"/>
        </w:numPr>
      </w:pPr>
      <w:r>
        <w:lastRenderedPageBreak/>
        <w:t>o</w:t>
      </w:r>
      <w:r w:rsidR="005227AF" w:rsidRPr="005227AF">
        <w:t>bsługa przepełnienia kolejek z wykorzystaniem mechanizmów tail drop i WRED.</w:t>
      </w:r>
    </w:p>
    <w:p w14:paraId="04BC0986" w14:textId="18BD4E64" w:rsidR="005227AF" w:rsidRPr="005227AF" w:rsidRDefault="005227AF" w:rsidP="00C3032B">
      <w:pPr>
        <w:pStyle w:val="Nagwek2"/>
      </w:pPr>
      <w:r w:rsidRPr="005227AF">
        <w:t>Wsp</w:t>
      </w:r>
      <w:r w:rsidR="007B01BA">
        <w:t>iera</w:t>
      </w:r>
      <w:r w:rsidRPr="005227AF">
        <w:t xml:space="preserve"> zaawansowan</w:t>
      </w:r>
      <w:r w:rsidR="007B01BA">
        <w:t>e</w:t>
      </w:r>
      <w:r w:rsidRPr="005227AF">
        <w:t xml:space="preserve"> mechanizm</w:t>
      </w:r>
      <w:r w:rsidR="007B01BA">
        <w:t>y</w:t>
      </w:r>
      <w:r w:rsidRPr="005227AF">
        <w:t xml:space="preserve"> synchronizacji częstotliwości i/lub czasu, w tym:</w:t>
      </w:r>
    </w:p>
    <w:p w14:paraId="3CC600A5" w14:textId="370DFC08" w:rsidR="005227AF" w:rsidRPr="007B01BA" w:rsidRDefault="005227AF" w:rsidP="00C3032B">
      <w:pPr>
        <w:pStyle w:val="Akapitzlist"/>
        <w:numPr>
          <w:ilvl w:val="0"/>
          <w:numId w:val="26"/>
        </w:numPr>
      </w:pPr>
      <w:r w:rsidRPr="007B01BA">
        <w:t>posiada dedykowane interfejsy zegarujące BITS/1PPS/10Mhz</w:t>
      </w:r>
      <w:r w:rsidR="007B01BA">
        <w:t>;</w:t>
      </w:r>
    </w:p>
    <w:p w14:paraId="13137ECE" w14:textId="72B92EB6" w:rsidR="005227AF" w:rsidRPr="007B01BA" w:rsidRDefault="005227AF" w:rsidP="00C3032B">
      <w:pPr>
        <w:pStyle w:val="Akapitzlist"/>
        <w:numPr>
          <w:ilvl w:val="0"/>
          <w:numId w:val="26"/>
        </w:numPr>
      </w:pPr>
      <w:r w:rsidRPr="007B01BA">
        <w:t>zapewnia wsparcie dla protokołu IEEE 1588v2 PTP w trybie BC</w:t>
      </w:r>
      <w:r w:rsidR="007B01BA">
        <w:t>.</w:t>
      </w:r>
    </w:p>
    <w:p w14:paraId="6DF45589" w14:textId="77777777" w:rsidR="005227AF" w:rsidRPr="005227AF" w:rsidRDefault="005227AF" w:rsidP="00C3032B">
      <w:pPr>
        <w:pStyle w:val="Nagwek2"/>
      </w:pPr>
      <w:r w:rsidRPr="005227AF">
        <w:t>Transparent z transportem zarówno w warstwie IP jak i Ethernet.</w:t>
      </w:r>
    </w:p>
    <w:p w14:paraId="51826B85" w14:textId="77777777" w:rsidR="005227AF" w:rsidRPr="005227AF" w:rsidRDefault="005227AF" w:rsidP="002120C5">
      <w:pPr>
        <w:pStyle w:val="Nagwek3"/>
        <w:numPr>
          <w:ilvl w:val="0"/>
          <w:numId w:val="0"/>
        </w:numPr>
        <w:ind w:left="1560"/>
        <w:rPr>
          <w:bCs/>
        </w:rPr>
      </w:pPr>
      <w:r w:rsidRPr="005227AF">
        <w:rPr>
          <w:bCs/>
        </w:rPr>
        <w:t>c. Urządzenie musi wspierać SyncE na interfejsach 1/10 GigabitEthernet.</w:t>
      </w:r>
    </w:p>
    <w:p w14:paraId="1363A5CF" w14:textId="77777777" w:rsidR="005227AF" w:rsidRPr="005227AF" w:rsidRDefault="005227AF" w:rsidP="002120C5">
      <w:pPr>
        <w:pStyle w:val="Nagwek3"/>
        <w:numPr>
          <w:ilvl w:val="0"/>
          <w:numId w:val="0"/>
        </w:numPr>
        <w:ind w:left="1560"/>
        <w:rPr>
          <w:bCs/>
        </w:rPr>
      </w:pPr>
      <w:r w:rsidRPr="005227AF">
        <w:rPr>
          <w:bCs/>
        </w:rPr>
        <w:t>d. Urządzenie musi umożliwiać pracę w trybie hybrydowym SyncE/IEEE 1588v2.</w:t>
      </w:r>
    </w:p>
    <w:p w14:paraId="70DCBD87" w14:textId="2595C65D" w:rsidR="005227AF" w:rsidRPr="001C02D5" w:rsidRDefault="005227AF" w:rsidP="00C3032B">
      <w:pPr>
        <w:pStyle w:val="Nagwek1"/>
      </w:pPr>
      <w:r w:rsidRPr="001C02D5">
        <w:t>Zarządzanie i konfiguracja</w:t>
      </w:r>
      <w:r w:rsidR="00C227EF">
        <w:t xml:space="preserve"> routera dostępowego</w:t>
      </w:r>
    </w:p>
    <w:p w14:paraId="5F5FE13F" w14:textId="49778A94" w:rsidR="005227AF" w:rsidRPr="005227AF" w:rsidRDefault="005227AF" w:rsidP="00C3032B">
      <w:pPr>
        <w:pStyle w:val="Nagwek2"/>
      </w:pPr>
      <w:r w:rsidRPr="005227AF">
        <w:t>Wsp</w:t>
      </w:r>
      <w:r w:rsidR="00C227EF">
        <w:t>iera</w:t>
      </w:r>
      <w:r w:rsidRPr="005227AF">
        <w:t xml:space="preserve"> mechanizm</w:t>
      </w:r>
      <w:r w:rsidR="00C227EF">
        <w:t>y</w:t>
      </w:r>
      <w:r w:rsidRPr="005227AF">
        <w:t xml:space="preserve"> </w:t>
      </w:r>
      <w:r w:rsidRPr="00C3032B">
        <w:rPr>
          <w:i/>
        </w:rPr>
        <w:t>role based access control</w:t>
      </w:r>
      <w:r w:rsidRPr="005227AF">
        <w:t>, w tym integracji z zewnętrznymi serwerami AAA RADIUS/TACACS+.</w:t>
      </w:r>
    </w:p>
    <w:p w14:paraId="7C511BCE" w14:textId="0A0C21AA" w:rsidR="005227AF" w:rsidRPr="005227AF" w:rsidRDefault="00C227EF" w:rsidP="00C3032B">
      <w:pPr>
        <w:pStyle w:val="Nagwek2"/>
      </w:pPr>
      <w:r>
        <w:t>D</w:t>
      </w:r>
      <w:r w:rsidR="005227AF" w:rsidRPr="005227AF">
        <w:t>edykowany port Ethernet do zarządzania out-of-band</w:t>
      </w:r>
      <w:r>
        <w:t>.</w:t>
      </w:r>
    </w:p>
    <w:p w14:paraId="1BA4CAC3" w14:textId="0E743EB1" w:rsidR="005227AF" w:rsidRPr="005227AF" w:rsidRDefault="005227AF" w:rsidP="00C3032B">
      <w:pPr>
        <w:pStyle w:val="Nagwek2"/>
      </w:pPr>
      <w:r w:rsidRPr="005227AF">
        <w:t>Minimum jeden port USB umożliwiający podłączenie zewnętrznego nośnika danych. Urządzenie</w:t>
      </w:r>
      <w:r w:rsidR="00C227EF">
        <w:t xml:space="preserve"> </w:t>
      </w:r>
      <w:r w:rsidRPr="005227AF">
        <w:t>musi mieć możliwość uruchomienia z nośnika danych umieszczonego w porcie USB</w:t>
      </w:r>
      <w:r w:rsidR="00C227EF">
        <w:t>.</w:t>
      </w:r>
    </w:p>
    <w:p w14:paraId="1C036851" w14:textId="284D95E1" w:rsidR="005227AF" w:rsidRPr="005227AF" w:rsidRDefault="005227AF" w:rsidP="00C3032B">
      <w:pPr>
        <w:pStyle w:val="Nagwek2"/>
      </w:pPr>
      <w:r w:rsidRPr="005227AF">
        <w:t>Urządzenie musi być wyposażone w port konsoli szeregowej</w:t>
      </w:r>
      <w:r w:rsidR="00C227EF">
        <w:t>.</w:t>
      </w:r>
    </w:p>
    <w:p w14:paraId="5A2DC2DE" w14:textId="318E338E" w:rsidR="005227AF" w:rsidRPr="001C02D5" w:rsidRDefault="005227AF" w:rsidP="00C3032B">
      <w:pPr>
        <w:pStyle w:val="Nagwek2"/>
      </w:pPr>
      <w:r w:rsidRPr="005227AF">
        <w:t>Plik konfiguracyjny urządzenia musi być możliwy do edycji w trybie off-line (tzn. konieczna jest</w:t>
      </w:r>
      <w:r w:rsidR="001C02D5" w:rsidRPr="001C02D5">
        <w:t xml:space="preserve"> możliwość przeglądania i zmian konfiguracji w pliku tekstowym na dowolnym urządzeniu PC). Po zapisaniu konfiguracji w pamięci nieulotnej musi być możliwe uruchomienie urządzenia z nową</w:t>
      </w:r>
      <w:r w:rsidR="001C02D5">
        <w:t xml:space="preserve"> </w:t>
      </w:r>
      <w:r w:rsidRPr="001C02D5">
        <w:t>konfiguracją</w:t>
      </w:r>
      <w:r w:rsidR="00C227EF">
        <w:t>.</w:t>
      </w:r>
    </w:p>
    <w:p w14:paraId="28FCF3C1" w14:textId="0BC622E2" w:rsidR="005227AF" w:rsidRPr="001C02D5" w:rsidRDefault="005227AF" w:rsidP="00C3032B">
      <w:pPr>
        <w:pStyle w:val="Nagwek2"/>
      </w:pPr>
      <w:r w:rsidRPr="005227AF">
        <w:t>Urządzenie musi umożliwiać tworzenie skryptów celem obsługi zdarzeń, które mogą pojawić się</w:t>
      </w:r>
      <w:r w:rsidR="001C02D5">
        <w:t xml:space="preserve"> </w:t>
      </w:r>
      <w:r w:rsidRPr="001C02D5">
        <w:t>w systemie</w:t>
      </w:r>
      <w:r w:rsidR="00C227EF">
        <w:t>.</w:t>
      </w:r>
    </w:p>
    <w:p w14:paraId="6547D936" w14:textId="7FC4A397" w:rsidR="005227AF" w:rsidRPr="001C02D5" w:rsidRDefault="005227AF" w:rsidP="00C3032B">
      <w:pPr>
        <w:pStyle w:val="Nagwek2"/>
      </w:pPr>
      <w:r w:rsidRPr="005227AF">
        <w:t>Urządzenie musi posiadać możliwość definiowania wzorcowej konfiguracji, możliwej do</w:t>
      </w:r>
      <w:r w:rsidR="001C02D5">
        <w:t xml:space="preserve"> </w:t>
      </w:r>
      <w:r w:rsidRPr="001C02D5">
        <w:t>przywrócenia w dowolnym momencie</w:t>
      </w:r>
      <w:r w:rsidR="00C227EF">
        <w:t>.</w:t>
      </w:r>
    </w:p>
    <w:p w14:paraId="30861127" w14:textId="09FBF147" w:rsidR="005227AF" w:rsidRPr="001C02D5" w:rsidRDefault="005227AF" w:rsidP="00C3032B">
      <w:pPr>
        <w:pStyle w:val="Nagwek2"/>
      </w:pPr>
      <w:r w:rsidRPr="005227AF">
        <w:t>Urządzenie musi zapewniać możliwość weryfikacji poprawności zmian konfiguracyjnych przed ich</w:t>
      </w:r>
      <w:r w:rsidR="001C02D5">
        <w:t xml:space="preserve"> </w:t>
      </w:r>
      <w:r w:rsidR="001C02D5" w:rsidRPr="001C02D5">
        <w:t>aktywacją na urządzeniu oraz wersjonowanie zmian konfiguracji, w tym możliwość wycofania</w:t>
      </w:r>
      <w:r w:rsidR="001C02D5">
        <w:t xml:space="preserve"> </w:t>
      </w:r>
      <w:r w:rsidRPr="001C02D5">
        <w:t>ostatnio wprowadzonych zmian</w:t>
      </w:r>
      <w:r w:rsidR="00C227EF">
        <w:t>.</w:t>
      </w:r>
    </w:p>
    <w:p w14:paraId="224CC65C" w14:textId="5DC42F25" w:rsidR="005227AF" w:rsidRPr="005227AF" w:rsidRDefault="005227AF" w:rsidP="00C3032B">
      <w:pPr>
        <w:pStyle w:val="Nagwek2"/>
      </w:pPr>
      <w:r w:rsidRPr="005227AF">
        <w:t>Urządzenie musi posiadać wbudowany analizator pakietów</w:t>
      </w:r>
      <w:r w:rsidR="00C227EF">
        <w:t>.</w:t>
      </w:r>
    </w:p>
    <w:p w14:paraId="38D4096B" w14:textId="7F1AE6E6" w:rsidR="005227AF" w:rsidRPr="001C02D5" w:rsidRDefault="005227AF" w:rsidP="00C3032B">
      <w:pPr>
        <w:pStyle w:val="Nagwek2"/>
      </w:pPr>
      <w:r w:rsidRPr="005227AF">
        <w:t>Obsługa protokołów SNMPv3, SSHv2, SCP, HTTPS, SYSLOG, NETCONF – z wykorzystaniem protokołów IPv4 i IPv6</w:t>
      </w:r>
      <w:r w:rsidR="00C227EF">
        <w:t>.</w:t>
      </w:r>
    </w:p>
    <w:p w14:paraId="397A13EE" w14:textId="31356E7A" w:rsidR="005227AF" w:rsidRPr="001C02D5" w:rsidRDefault="005227AF" w:rsidP="00C3032B">
      <w:pPr>
        <w:pStyle w:val="Nagwek1"/>
      </w:pPr>
      <w:r w:rsidRPr="001C02D5">
        <w:t>Obudowa</w:t>
      </w:r>
      <w:r w:rsidR="00C227EF">
        <w:t xml:space="preserve"> routera dostępowego</w:t>
      </w:r>
    </w:p>
    <w:p w14:paraId="1B5B64EF" w14:textId="5D063C2A" w:rsidR="005227AF" w:rsidRPr="005227AF" w:rsidRDefault="005227AF" w:rsidP="00C3032B">
      <w:pPr>
        <w:pStyle w:val="Nagwek2"/>
      </w:pPr>
      <w:r w:rsidRPr="005227AF">
        <w:t>Możliwość montażu w szafie rack 19”. Wysokość urządzenia nie może przekraczać 1 U</w:t>
      </w:r>
      <w:r w:rsidR="00C227EF">
        <w:t>.</w:t>
      </w:r>
    </w:p>
    <w:p w14:paraId="1C3BE5A4" w14:textId="5A5D69ED" w:rsidR="005227AF" w:rsidRPr="005227AF" w:rsidRDefault="005227AF" w:rsidP="00C3032B">
      <w:pPr>
        <w:pStyle w:val="Nagwek2"/>
      </w:pPr>
      <w:r w:rsidRPr="005227AF">
        <w:t>Wbudowany redundantny zasilacz AC 230V</w:t>
      </w:r>
      <w:r w:rsidR="00C227EF">
        <w:t>.</w:t>
      </w:r>
    </w:p>
    <w:p w14:paraId="40E57CA0" w14:textId="1C95CE2A" w:rsidR="005227AF" w:rsidRPr="001C02D5" w:rsidRDefault="00E70977" w:rsidP="00C3032B">
      <w:pPr>
        <w:pStyle w:val="Nagwek1"/>
      </w:pPr>
      <w:r>
        <w:t>Serwis</w:t>
      </w:r>
    </w:p>
    <w:p w14:paraId="4762F21A" w14:textId="6883B449" w:rsidR="00572C19" w:rsidRPr="00A77086" w:rsidRDefault="001C02D5" w:rsidP="00C3032B">
      <w:pPr>
        <w:pStyle w:val="Nagwek2"/>
      </w:pPr>
      <w:bookmarkStart w:id="0" w:name="_GoBack"/>
      <w:bookmarkEnd w:id="0"/>
      <w:r>
        <w:t>• Serwis</w:t>
      </w:r>
      <w:r w:rsidR="005227AF" w:rsidRPr="005227AF">
        <w:t xml:space="preserve"> producenta na okres co najmniej 36 m</w:t>
      </w:r>
      <w:r w:rsidR="001F5C7D">
        <w:t>iesię</w:t>
      </w:r>
      <w:r w:rsidR="005227AF" w:rsidRPr="005227AF">
        <w:t>cy.</w:t>
      </w:r>
      <w:r>
        <w:t xml:space="preserve"> </w:t>
      </w:r>
    </w:p>
    <w:sectPr w:rsidR="00572C19" w:rsidRPr="00A77086" w:rsidSect="00D515F2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0FA7B" w16cex:dateUtc="2021-07-20T05:32:00Z"/>
  <w16cex:commentExtensible w16cex:durableId="24A0F846" w16cex:dateUtc="2021-07-20T05:22:00Z"/>
  <w16cex:commentExtensible w16cex:durableId="24A0F95A" w16cex:dateUtc="2021-07-20T05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8EF65B" w16cid:durableId="24A0F7E2"/>
  <w16cid:commentId w16cid:paraId="313F2AB7" w16cid:durableId="24A0FA7B"/>
  <w16cid:commentId w16cid:paraId="19E11A6C" w16cid:durableId="24A0F7E3"/>
  <w16cid:commentId w16cid:paraId="0B5957A4" w16cid:durableId="24A0F846"/>
  <w16cid:commentId w16cid:paraId="6F326077" w16cid:durableId="24A0F7E4"/>
  <w16cid:commentId w16cid:paraId="2B726E12" w16cid:durableId="24A0F95A"/>
  <w16cid:commentId w16cid:paraId="092E3D71" w16cid:durableId="24A0F7E5"/>
  <w16cid:commentId w16cid:paraId="19DA6410" w16cid:durableId="24A0F7E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0CD94" w14:textId="77777777" w:rsidR="000C6DC7" w:rsidRDefault="000C6DC7" w:rsidP="00CA1550">
      <w:pPr>
        <w:spacing w:after="0" w:line="240" w:lineRule="auto"/>
      </w:pPr>
      <w:r>
        <w:separator/>
      </w:r>
    </w:p>
  </w:endnote>
  <w:endnote w:type="continuationSeparator" w:id="0">
    <w:p w14:paraId="08A3E0D2" w14:textId="77777777" w:rsidR="000C6DC7" w:rsidRDefault="000C6DC7" w:rsidP="00CA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50E30" w14:textId="6AC99A6C" w:rsidR="00CA1550" w:rsidRPr="00C3032B" w:rsidRDefault="00587A46" w:rsidP="00C3032B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3B6A80">
      <w:rPr>
        <w:rFonts w:ascii="Arial" w:hAnsi="Arial" w:cs="Arial"/>
        <w:sz w:val="16"/>
        <w:szCs w:val="16"/>
      </w:rPr>
      <w:t xml:space="preserve">str. </w:t>
    </w:r>
    <w:r w:rsidRPr="003B6A80">
      <w:rPr>
        <w:rFonts w:ascii="Arial" w:hAnsi="Arial" w:cs="Arial"/>
        <w:sz w:val="16"/>
        <w:szCs w:val="16"/>
      </w:rPr>
      <w:fldChar w:fldCharType="begin"/>
    </w:r>
    <w:r w:rsidRPr="003B6A80">
      <w:rPr>
        <w:rFonts w:ascii="Arial" w:hAnsi="Arial" w:cs="Arial"/>
        <w:sz w:val="16"/>
        <w:szCs w:val="16"/>
      </w:rPr>
      <w:instrText>PAGE   \* MERGEFORMAT</w:instrText>
    </w:r>
    <w:r w:rsidRPr="003B6A80">
      <w:rPr>
        <w:rFonts w:ascii="Arial" w:hAnsi="Arial" w:cs="Arial"/>
        <w:sz w:val="16"/>
        <w:szCs w:val="16"/>
      </w:rPr>
      <w:fldChar w:fldCharType="separate"/>
    </w:r>
    <w:r w:rsidR="002E5B6C">
      <w:rPr>
        <w:rFonts w:ascii="Arial" w:hAnsi="Arial" w:cs="Arial"/>
        <w:noProof/>
        <w:sz w:val="16"/>
        <w:szCs w:val="16"/>
      </w:rPr>
      <w:t>1</w:t>
    </w:r>
    <w:r w:rsidRPr="003B6A80">
      <w:rPr>
        <w:rFonts w:ascii="Arial" w:hAnsi="Arial" w:cs="Arial"/>
        <w:sz w:val="16"/>
        <w:szCs w:val="16"/>
      </w:rPr>
      <w:fldChar w:fldCharType="end"/>
    </w:r>
    <w:r w:rsidRPr="003B6A80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DECE0" w14:textId="77777777" w:rsidR="000C6DC7" w:rsidRDefault="000C6DC7" w:rsidP="00CA1550">
      <w:pPr>
        <w:spacing w:after="0" w:line="240" w:lineRule="auto"/>
      </w:pPr>
      <w:r>
        <w:separator/>
      </w:r>
    </w:p>
  </w:footnote>
  <w:footnote w:type="continuationSeparator" w:id="0">
    <w:p w14:paraId="0F24ACB0" w14:textId="77777777" w:rsidR="000C6DC7" w:rsidRDefault="000C6DC7" w:rsidP="00CA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7E5A82" w14:paraId="10BC0CD5" w14:textId="77777777" w:rsidTr="00AE3A75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C70F67D" w14:textId="77777777" w:rsidR="007E5A82" w:rsidRDefault="007E5A82" w:rsidP="007E5A82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1944EE7F" wp14:editId="047E2A93">
                <wp:extent cx="1396800" cy="615600"/>
                <wp:effectExtent l="0" t="0" r="0" b="0"/>
                <wp:docPr id="117" name="Obraz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4ACE7CA" w14:textId="77777777" w:rsidR="007E5A82" w:rsidRDefault="007E5A82" w:rsidP="007E5A82">
          <w:pPr>
            <w:ind w:right="131"/>
            <w:jc w:val="center"/>
            <w:rPr>
              <w:rFonts w:cs="Tahoma"/>
              <w:noProof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7733F1DC" wp14:editId="1ED2886C">
                <wp:extent cx="1514475" cy="504825"/>
                <wp:effectExtent l="0" t="0" r="9525" b="9525"/>
                <wp:docPr id="118" name="Obraz 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7844E3B5" w14:textId="77777777" w:rsidR="007E5A82" w:rsidRDefault="007E5A82" w:rsidP="007E5A82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0DC868AF" wp14:editId="5C64C60F">
                <wp:extent cx="1581150" cy="333375"/>
                <wp:effectExtent l="0" t="0" r="0" b="9525"/>
                <wp:docPr id="119" name="Obraz 119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5E080DB" w14:textId="77777777" w:rsidR="007E5A82" w:rsidRDefault="007E5A82" w:rsidP="007E5A82">
          <w:pPr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210F080A" wp14:editId="58B43243">
                <wp:extent cx="1533525" cy="504825"/>
                <wp:effectExtent l="0" t="0" r="9525" b="9525"/>
                <wp:docPr id="120" name="Obraz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0CE4C9" w14:textId="063B4FCC" w:rsidR="009A175F" w:rsidRDefault="009A17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02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2F53D4"/>
    <w:multiLevelType w:val="hybridMultilevel"/>
    <w:tmpl w:val="4FD8881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7">
      <w:start w:val="1"/>
      <w:numFmt w:val="lowerLetter"/>
      <w:lvlText w:val="%2)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817180E"/>
    <w:multiLevelType w:val="multilevel"/>
    <w:tmpl w:val="915281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F107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123A92"/>
    <w:multiLevelType w:val="hybridMultilevel"/>
    <w:tmpl w:val="12FCC39A"/>
    <w:lvl w:ilvl="0" w:tplc="D7EE76C0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1BA5373D"/>
    <w:multiLevelType w:val="hybridMultilevel"/>
    <w:tmpl w:val="42A4E12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1F86331"/>
    <w:multiLevelType w:val="multilevel"/>
    <w:tmpl w:val="D9205A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D67CDB"/>
    <w:multiLevelType w:val="multilevel"/>
    <w:tmpl w:val="772422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8" w15:restartNumberingAfterBreak="0">
    <w:nsid w:val="24D119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735A40"/>
    <w:multiLevelType w:val="hybridMultilevel"/>
    <w:tmpl w:val="120A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70517"/>
    <w:multiLevelType w:val="hybridMultilevel"/>
    <w:tmpl w:val="E68E7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A0A8C"/>
    <w:multiLevelType w:val="hybridMultilevel"/>
    <w:tmpl w:val="98DEE3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35AE0"/>
    <w:multiLevelType w:val="hybridMultilevel"/>
    <w:tmpl w:val="68840D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07F8E"/>
    <w:multiLevelType w:val="multilevel"/>
    <w:tmpl w:val="5CD4A2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39C6AFB"/>
    <w:multiLevelType w:val="multilevel"/>
    <w:tmpl w:val="95C09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4E37269"/>
    <w:multiLevelType w:val="hybridMultilevel"/>
    <w:tmpl w:val="4FD8881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7">
      <w:start w:val="1"/>
      <w:numFmt w:val="lowerLetter"/>
      <w:lvlText w:val="%2)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6670F36"/>
    <w:multiLevelType w:val="hybridMultilevel"/>
    <w:tmpl w:val="955A18B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B232A33E">
      <w:start w:val="1"/>
      <w:numFmt w:val="lowerRoman"/>
      <w:lvlText w:val="%2."/>
      <w:lvlJc w:val="left"/>
      <w:pPr>
        <w:ind w:left="2433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6796327"/>
    <w:multiLevelType w:val="hybridMultilevel"/>
    <w:tmpl w:val="463E1A8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5046459E"/>
    <w:multiLevelType w:val="hybridMultilevel"/>
    <w:tmpl w:val="52E6B2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0779B"/>
    <w:multiLevelType w:val="multilevel"/>
    <w:tmpl w:val="8B8865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5B24CE2"/>
    <w:multiLevelType w:val="multilevel"/>
    <w:tmpl w:val="83EC89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21" w15:restartNumberingAfterBreak="0">
    <w:nsid w:val="60E50F73"/>
    <w:multiLevelType w:val="multilevel"/>
    <w:tmpl w:val="4524CDE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Nagwek3"/>
      <w:lvlText w:val="%1.%2.%3."/>
      <w:lvlJc w:val="left"/>
      <w:pPr>
        <w:ind w:left="220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3D24E54"/>
    <w:multiLevelType w:val="hybridMultilevel"/>
    <w:tmpl w:val="885CCC3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0177B2B"/>
    <w:multiLevelType w:val="hybridMultilevel"/>
    <w:tmpl w:val="DD24696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33A3E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4B0572A"/>
    <w:multiLevelType w:val="hybridMultilevel"/>
    <w:tmpl w:val="42A4E12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77926EC4"/>
    <w:multiLevelType w:val="hybridMultilevel"/>
    <w:tmpl w:val="621AD8E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21"/>
  </w:num>
  <w:num w:numId="5">
    <w:abstractNumId w:val="0"/>
  </w:num>
  <w:num w:numId="6">
    <w:abstractNumId w:val="24"/>
  </w:num>
  <w:num w:numId="7">
    <w:abstractNumId w:val="8"/>
  </w:num>
  <w:num w:numId="8">
    <w:abstractNumId w:val="14"/>
  </w:num>
  <w:num w:numId="9">
    <w:abstractNumId w:val="19"/>
  </w:num>
  <w:num w:numId="10">
    <w:abstractNumId w:val="6"/>
  </w:num>
  <w:num w:numId="11">
    <w:abstractNumId w:val="2"/>
  </w:num>
  <w:num w:numId="12">
    <w:abstractNumId w:val="13"/>
  </w:num>
  <w:num w:numId="13">
    <w:abstractNumId w:val="20"/>
  </w:num>
  <w:num w:numId="14">
    <w:abstractNumId w:val="7"/>
  </w:num>
  <w:num w:numId="15">
    <w:abstractNumId w:val="17"/>
  </w:num>
  <w:num w:numId="16">
    <w:abstractNumId w:val="4"/>
  </w:num>
  <w:num w:numId="17">
    <w:abstractNumId w:val="16"/>
  </w:num>
  <w:num w:numId="18">
    <w:abstractNumId w:val="26"/>
  </w:num>
  <w:num w:numId="19">
    <w:abstractNumId w:val="1"/>
  </w:num>
  <w:num w:numId="20">
    <w:abstractNumId w:val="11"/>
  </w:num>
  <w:num w:numId="21">
    <w:abstractNumId w:val="15"/>
  </w:num>
  <w:num w:numId="22">
    <w:abstractNumId w:val="22"/>
  </w:num>
  <w:num w:numId="23">
    <w:abstractNumId w:val="18"/>
  </w:num>
  <w:num w:numId="24">
    <w:abstractNumId w:val="25"/>
  </w:num>
  <w:num w:numId="25">
    <w:abstractNumId w:val="12"/>
  </w:num>
  <w:num w:numId="26">
    <w:abstractNumId w:val="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8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6D"/>
    <w:rsid w:val="00006EB9"/>
    <w:rsid w:val="000153A6"/>
    <w:rsid w:val="0006183E"/>
    <w:rsid w:val="00070C7C"/>
    <w:rsid w:val="00081DD2"/>
    <w:rsid w:val="00085C7B"/>
    <w:rsid w:val="00090F34"/>
    <w:rsid w:val="000914F2"/>
    <w:rsid w:val="00094E84"/>
    <w:rsid w:val="000A516F"/>
    <w:rsid w:val="000C6DC7"/>
    <w:rsid w:val="000E0E94"/>
    <w:rsid w:val="000E2811"/>
    <w:rsid w:val="000E2B7D"/>
    <w:rsid w:val="000E44FE"/>
    <w:rsid w:val="000F01A5"/>
    <w:rsid w:val="000F497C"/>
    <w:rsid w:val="001014A7"/>
    <w:rsid w:val="00105D9B"/>
    <w:rsid w:val="00144EC4"/>
    <w:rsid w:val="00147407"/>
    <w:rsid w:val="00156681"/>
    <w:rsid w:val="001745EB"/>
    <w:rsid w:val="00181129"/>
    <w:rsid w:val="0018127A"/>
    <w:rsid w:val="001969DC"/>
    <w:rsid w:val="001C02D5"/>
    <w:rsid w:val="001E3E39"/>
    <w:rsid w:val="001F5C7D"/>
    <w:rsid w:val="00203209"/>
    <w:rsid w:val="002120C5"/>
    <w:rsid w:val="00215F0E"/>
    <w:rsid w:val="002169D9"/>
    <w:rsid w:val="00275842"/>
    <w:rsid w:val="00283839"/>
    <w:rsid w:val="00285216"/>
    <w:rsid w:val="002A08DB"/>
    <w:rsid w:val="002B6663"/>
    <w:rsid w:val="002C7D27"/>
    <w:rsid w:val="002D05CE"/>
    <w:rsid w:val="002D793D"/>
    <w:rsid w:val="002E489C"/>
    <w:rsid w:val="002E5B6C"/>
    <w:rsid w:val="002E74A6"/>
    <w:rsid w:val="002F032D"/>
    <w:rsid w:val="002F2472"/>
    <w:rsid w:val="002F70EC"/>
    <w:rsid w:val="003261D3"/>
    <w:rsid w:val="00333451"/>
    <w:rsid w:val="003436C2"/>
    <w:rsid w:val="003601AF"/>
    <w:rsid w:val="003618D2"/>
    <w:rsid w:val="0037792F"/>
    <w:rsid w:val="0038000B"/>
    <w:rsid w:val="00391F99"/>
    <w:rsid w:val="00393798"/>
    <w:rsid w:val="00397231"/>
    <w:rsid w:val="003A6E85"/>
    <w:rsid w:val="003A7EE1"/>
    <w:rsid w:val="003C200B"/>
    <w:rsid w:val="003D480B"/>
    <w:rsid w:val="003D58A0"/>
    <w:rsid w:val="003F6CD2"/>
    <w:rsid w:val="00407302"/>
    <w:rsid w:val="00407987"/>
    <w:rsid w:val="00412938"/>
    <w:rsid w:val="00415429"/>
    <w:rsid w:val="0042352B"/>
    <w:rsid w:val="0043520F"/>
    <w:rsid w:val="00457B4E"/>
    <w:rsid w:val="004601DE"/>
    <w:rsid w:val="00462968"/>
    <w:rsid w:val="00470257"/>
    <w:rsid w:val="00474137"/>
    <w:rsid w:val="004748A2"/>
    <w:rsid w:val="00483B9C"/>
    <w:rsid w:val="004853A6"/>
    <w:rsid w:val="004970F6"/>
    <w:rsid w:val="004B6F73"/>
    <w:rsid w:val="004C0CC2"/>
    <w:rsid w:val="004D6A29"/>
    <w:rsid w:val="004F1DA4"/>
    <w:rsid w:val="004F2E58"/>
    <w:rsid w:val="005010EF"/>
    <w:rsid w:val="00510DB4"/>
    <w:rsid w:val="00510E1F"/>
    <w:rsid w:val="00513B4F"/>
    <w:rsid w:val="00521F7F"/>
    <w:rsid w:val="005227AF"/>
    <w:rsid w:val="00523CF1"/>
    <w:rsid w:val="00527171"/>
    <w:rsid w:val="005440AF"/>
    <w:rsid w:val="00552875"/>
    <w:rsid w:val="00553EF4"/>
    <w:rsid w:val="00556BA4"/>
    <w:rsid w:val="005632C4"/>
    <w:rsid w:val="00572C19"/>
    <w:rsid w:val="00587A46"/>
    <w:rsid w:val="00587FFC"/>
    <w:rsid w:val="0059294B"/>
    <w:rsid w:val="005A5156"/>
    <w:rsid w:val="005B715F"/>
    <w:rsid w:val="005D3B8D"/>
    <w:rsid w:val="005F1015"/>
    <w:rsid w:val="005F340A"/>
    <w:rsid w:val="005F418D"/>
    <w:rsid w:val="0061389F"/>
    <w:rsid w:val="00621EDA"/>
    <w:rsid w:val="006254D9"/>
    <w:rsid w:val="0062736F"/>
    <w:rsid w:val="00631C25"/>
    <w:rsid w:val="006368FF"/>
    <w:rsid w:val="0065204F"/>
    <w:rsid w:val="00654261"/>
    <w:rsid w:val="00654317"/>
    <w:rsid w:val="006578E9"/>
    <w:rsid w:val="0066312F"/>
    <w:rsid w:val="006706EA"/>
    <w:rsid w:val="006768FE"/>
    <w:rsid w:val="006B0D83"/>
    <w:rsid w:val="006B2C72"/>
    <w:rsid w:val="006C451D"/>
    <w:rsid w:val="006C4F85"/>
    <w:rsid w:val="006D77F0"/>
    <w:rsid w:val="006F37FD"/>
    <w:rsid w:val="00706852"/>
    <w:rsid w:val="007325C8"/>
    <w:rsid w:val="007570ED"/>
    <w:rsid w:val="0078212F"/>
    <w:rsid w:val="00786B8B"/>
    <w:rsid w:val="007959DE"/>
    <w:rsid w:val="007965BE"/>
    <w:rsid w:val="007A0001"/>
    <w:rsid w:val="007A2BEF"/>
    <w:rsid w:val="007B01BA"/>
    <w:rsid w:val="007B25AC"/>
    <w:rsid w:val="007C716D"/>
    <w:rsid w:val="007D1760"/>
    <w:rsid w:val="007D5639"/>
    <w:rsid w:val="007E4324"/>
    <w:rsid w:val="007E5A82"/>
    <w:rsid w:val="00807693"/>
    <w:rsid w:val="00811C51"/>
    <w:rsid w:val="0083351F"/>
    <w:rsid w:val="008506BF"/>
    <w:rsid w:val="00854129"/>
    <w:rsid w:val="00855F64"/>
    <w:rsid w:val="00864947"/>
    <w:rsid w:val="00876FA9"/>
    <w:rsid w:val="008842A6"/>
    <w:rsid w:val="008865A7"/>
    <w:rsid w:val="008914DC"/>
    <w:rsid w:val="008B522C"/>
    <w:rsid w:val="008C283F"/>
    <w:rsid w:val="008C7D80"/>
    <w:rsid w:val="00912828"/>
    <w:rsid w:val="0091391F"/>
    <w:rsid w:val="00920207"/>
    <w:rsid w:val="0092432E"/>
    <w:rsid w:val="00936BF5"/>
    <w:rsid w:val="0095035F"/>
    <w:rsid w:val="00956B9C"/>
    <w:rsid w:val="009605E9"/>
    <w:rsid w:val="0096291D"/>
    <w:rsid w:val="00975AB7"/>
    <w:rsid w:val="00975DC6"/>
    <w:rsid w:val="00985770"/>
    <w:rsid w:val="00994C7C"/>
    <w:rsid w:val="00997438"/>
    <w:rsid w:val="009A175F"/>
    <w:rsid w:val="009B5A50"/>
    <w:rsid w:val="009D43D1"/>
    <w:rsid w:val="009E79F4"/>
    <w:rsid w:val="009F4733"/>
    <w:rsid w:val="00A06AD9"/>
    <w:rsid w:val="00A11BA1"/>
    <w:rsid w:val="00A441E3"/>
    <w:rsid w:val="00A458A7"/>
    <w:rsid w:val="00A47208"/>
    <w:rsid w:val="00A61F12"/>
    <w:rsid w:val="00A77086"/>
    <w:rsid w:val="00A83502"/>
    <w:rsid w:val="00A86121"/>
    <w:rsid w:val="00A90437"/>
    <w:rsid w:val="00A934A6"/>
    <w:rsid w:val="00AA586A"/>
    <w:rsid w:val="00AD0CFE"/>
    <w:rsid w:val="00AD6C11"/>
    <w:rsid w:val="00AE2373"/>
    <w:rsid w:val="00AE2F4F"/>
    <w:rsid w:val="00AE669D"/>
    <w:rsid w:val="00AF11B1"/>
    <w:rsid w:val="00AF6550"/>
    <w:rsid w:val="00B0374F"/>
    <w:rsid w:val="00B13B6E"/>
    <w:rsid w:val="00B1724D"/>
    <w:rsid w:val="00B241D7"/>
    <w:rsid w:val="00B247F2"/>
    <w:rsid w:val="00B31998"/>
    <w:rsid w:val="00B54381"/>
    <w:rsid w:val="00B54FA9"/>
    <w:rsid w:val="00B60FA9"/>
    <w:rsid w:val="00B63B53"/>
    <w:rsid w:val="00B66A24"/>
    <w:rsid w:val="00B83FCA"/>
    <w:rsid w:val="00B92453"/>
    <w:rsid w:val="00B95826"/>
    <w:rsid w:val="00BA02F3"/>
    <w:rsid w:val="00BA2F17"/>
    <w:rsid w:val="00BB7B04"/>
    <w:rsid w:val="00BD5277"/>
    <w:rsid w:val="00BD6787"/>
    <w:rsid w:val="00BE176D"/>
    <w:rsid w:val="00BE6C06"/>
    <w:rsid w:val="00C225CB"/>
    <w:rsid w:val="00C227EF"/>
    <w:rsid w:val="00C23EB6"/>
    <w:rsid w:val="00C26EDB"/>
    <w:rsid w:val="00C3032B"/>
    <w:rsid w:val="00C345BC"/>
    <w:rsid w:val="00C40E64"/>
    <w:rsid w:val="00C43B1C"/>
    <w:rsid w:val="00C52AEF"/>
    <w:rsid w:val="00C630B5"/>
    <w:rsid w:val="00C776E8"/>
    <w:rsid w:val="00C902B2"/>
    <w:rsid w:val="00C902C5"/>
    <w:rsid w:val="00C945A5"/>
    <w:rsid w:val="00CA1550"/>
    <w:rsid w:val="00CA6698"/>
    <w:rsid w:val="00CC26A1"/>
    <w:rsid w:val="00CC6092"/>
    <w:rsid w:val="00CC721D"/>
    <w:rsid w:val="00CD0047"/>
    <w:rsid w:val="00CD7D9D"/>
    <w:rsid w:val="00CE24B6"/>
    <w:rsid w:val="00CF0FD2"/>
    <w:rsid w:val="00D03FD9"/>
    <w:rsid w:val="00D23CBF"/>
    <w:rsid w:val="00D30239"/>
    <w:rsid w:val="00D4116D"/>
    <w:rsid w:val="00D515F2"/>
    <w:rsid w:val="00D55268"/>
    <w:rsid w:val="00D57535"/>
    <w:rsid w:val="00D577FA"/>
    <w:rsid w:val="00D70E63"/>
    <w:rsid w:val="00D732A5"/>
    <w:rsid w:val="00D8044E"/>
    <w:rsid w:val="00D84925"/>
    <w:rsid w:val="00D87D67"/>
    <w:rsid w:val="00D91857"/>
    <w:rsid w:val="00D94B7A"/>
    <w:rsid w:val="00DA4216"/>
    <w:rsid w:val="00DC0B7F"/>
    <w:rsid w:val="00DD7529"/>
    <w:rsid w:val="00DE4F56"/>
    <w:rsid w:val="00E13D2E"/>
    <w:rsid w:val="00E22E1B"/>
    <w:rsid w:val="00E33738"/>
    <w:rsid w:val="00E47DD7"/>
    <w:rsid w:val="00E5551E"/>
    <w:rsid w:val="00E60CD0"/>
    <w:rsid w:val="00E70174"/>
    <w:rsid w:val="00E70977"/>
    <w:rsid w:val="00E914ED"/>
    <w:rsid w:val="00E95838"/>
    <w:rsid w:val="00EA1B30"/>
    <w:rsid w:val="00EC0836"/>
    <w:rsid w:val="00EC3635"/>
    <w:rsid w:val="00EC45C2"/>
    <w:rsid w:val="00ED0F9A"/>
    <w:rsid w:val="00EF1166"/>
    <w:rsid w:val="00F17DA9"/>
    <w:rsid w:val="00F26DFD"/>
    <w:rsid w:val="00F3166D"/>
    <w:rsid w:val="00F37EBB"/>
    <w:rsid w:val="00F82919"/>
    <w:rsid w:val="00FA2720"/>
    <w:rsid w:val="00FC4251"/>
    <w:rsid w:val="00FC5148"/>
    <w:rsid w:val="00FC6F47"/>
    <w:rsid w:val="00FC7D2E"/>
    <w:rsid w:val="00FD0E39"/>
    <w:rsid w:val="00FD6226"/>
    <w:rsid w:val="00FF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BE73D"/>
  <w15:chartTrackingRefBased/>
  <w15:docId w15:val="{0FA173D8-4CD1-4362-BDD8-FA9332E2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E64"/>
    <w:pPr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081DD2"/>
    <w:pPr>
      <w:numPr>
        <w:numId w:val="4"/>
      </w:numPr>
      <w:spacing w:before="120" w:after="120" w:line="240" w:lineRule="auto"/>
      <w:contextualSpacing w:val="0"/>
      <w:outlineLvl w:val="0"/>
    </w:pPr>
    <w:rPr>
      <w:rFonts w:cs="Times New Roman"/>
      <w:b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0E44FE"/>
    <w:pPr>
      <w:numPr>
        <w:ilvl w:val="1"/>
        <w:numId w:val="4"/>
      </w:numPr>
      <w:spacing w:before="120" w:after="120" w:line="240" w:lineRule="auto"/>
      <w:ind w:left="993" w:hanging="633"/>
      <w:contextualSpacing w:val="0"/>
      <w:outlineLvl w:val="1"/>
    </w:pPr>
    <w:rPr>
      <w:rFonts w:cs="Times New Roman"/>
      <w:szCs w:val="24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0E44FE"/>
    <w:pPr>
      <w:numPr>
        <w:ilvl w:val="2"/>
        <w:numId w:val="4"/>
      </w:numPr>
      <w:spacing w:before="120" w:after="120" w:line="240" w:lineRule="auto"/>
      <w:ind w:left="1560" w:hanging="840"/>
      <w:contextualSpacing w:val="0"/>
      <w:outlineLvl w:val="2"/>
    </w:pPr>
    <w:rPr>
      <w:rFonts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E63"/>
    <w:pPr>
      <w:ind w:left="720"/>
      <w:contextualSpacing/>
    </w:pPr>
  </w:style>
  <w:style w:type="table" w:styleId="Tabela-Siatka">
    <w:name w:val="Table Grid"/>
    <w:basedOn w:val="Standardowy"/>
    <w:uiPriority w:val="59"/>
    <w:rsid w:val="00415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5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8A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6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6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6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6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6A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A1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550"/>
  </w:style>
  <w:style w:type="paragraph" w:styleId="Stopka">
    <w:name w:val="footer"/>
    <w:basedOn w:val="Normalny"/>
    <w:link w:val="StopkaZnak"/>
    <w:uiPriority w:val="99"/>
    <w:unhideWhenUsed/>
    <w:rsid w:val="00CA1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55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7A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7A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A4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81DD2"/>
    <w:rPr>
      <w:rFonts w:ascii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E44FE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0E44FE"/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C40E6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44560-335D-4F50-A859-B393061F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Partyka</dc:creator>
  <cp:keywords/>
  <dc:description/>
  <cp:lastModifiedBy>Adam Łagoda</cp:lastModifiedBy>
  <cp:revision>26</cp:revision>
  <cp:lastPrinted>2021-04-29T10:24:00Z</cp:lastPrinted>
  <dcterms:created xsi:type="dcterms:W3CDTF">2022-07-13T10:52:00Z</dcterms:created>
  <dcterms:modified xsi:type="dcterms:W3CDTF">2022-07-26T14:36:00Z</dcterms:modified>
</cp:coreProperties>
</file>