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A7D8" w14:textId="77777777" w:rsidR="00951990" w:rsidRPr="001D034B" w:rsidRDefault="00951990" w:rsidP="00951990">
      <w:pPr>
        <w:jc w:val="right"/>
        <w:rPr>
          <w:rFonts w:cs="Times New Roman"/>
          <w:sz w:val="20"/>
        </w:rPr>
      </w:pPr>
      <w:r w:rsidRPr="001D034B">
        <w:rPr>
          <w:rFonts w:cs="Times New Roman"/>
          <w:sz w:val="20"/>
        </w:rPr>
        <w:t>Załącznik nr 1 do Rozeznania cenowego rynku</w:t>
      </w:r>
    </w:p>
    <w:p w14:paraId="7A016927" w14:textId="77777777" w:rsidR="008B5E86" w:rsidRPr="00C2191D" w:rsidRDefault="00854212" w:rsidP="006D031B">
      <w:pPr>
        <w:pStyle w:val="Bezodstpw"/>
        <w:rPr>
          <w:b/>
        </w:rPr>
      </w:pPr>
      <w:r w:rsidRPr="00C2191D">
        <w:rPr>
          <w:b/>
        </w:rPr>
        <w:t>Określenie przedmiotu zamówienia</w:t>
      </w:r>
    </w:p>
    <w:p w14:paraId="63444B50" w14:textId="02C81EF6" w:rsidR="006D031B" w:rsidRDefault="00557D3D" w:rsidP="00C2191D">
      <w:pPr>
        <w:pStyle w:val="Nagwek1"/>
      </w:pPr>
      <w:r w:rsidRPr="00411868">
        <w:t xml:space="preserve">Przedmiotem zamówienia jest wykonywanie </w:t>
      </w:r>
      <w:r w:rsidR="00F461B7" w:rsidRPr="00411868">
        <w:t>wielobranżowego nadzoru inwestorskiego</w:t>
      </w:r>
      <w:r w:rsidRPr="00411868">
        <w:t xml:space="preserve"> </w:t>
      </w:r>
      <w:r w:rsidR="00DB28BE">
        <w:t>oraz </w:t>
      </w:r>
      <w:r w:rsidRPr="00411868">
        <w:t>pełnienie funkcji Inspektora Nadzoru Inwestorskiego</w:t>
      </w:r>
      <w:r w:rsidR="004B279A">
        <w:t>, działającego w imieniu Zamawiającego w związku oraz</w:t>
      </w:r>
      <w:r w:rsidRPr="00411868">
        <w:t xml:space="preserve"> </w:t>
      </w:r>
      <w:r w:rsidR="00AB0E44">
        <w:t>w trakcie realizacji</w:t>
      </w:r>
      <w:r w:rsidRPr="00411868">
        <w:t xml:space="preserve"> </w:t>
      </w:r>
      <w:r w:rsidR="00AB0E44">
        <w:t>„</w:t>
      </w:r>
      <w:r w:rsidR="00AB0E44" w:rsidRPr="00C2191D">
        <w:t>Centrum Egzaminowania i</w:t>
      </w:r>
      <w:r w:rsidR="00EB1485">
        <w:t> </w:t>
      </w:r>
      <w:r w:rsidR="00AB0E44" w:rsidRPr="00C2191D">
        <w:t>Monitorowania Maszynistów</w:t>
      </w:r>
      <w:r w:rsidR="00AB0E44">
        <w:t>”</w:t>
      </w:r>
      <w:r w:rsidR="00AB0E44" w:rsidRPr="00C2191D">
        <w:t xml:space="preserve">, dalej jako </w:t>
      </w:r>
      <w:r w:rsidR="00AB0E44" w:rsidRPr="001D034B">
        <w:rPr>
          <w:b/>
        </w:rPr>
        <w:t>CEMM</w:t>
      </w:r>
      <w:r w:rsidR="00AB0E44" w:rsidRPr="00C2191D">
        <w:t>.</w:t>
      </w:r>
      <w:r w:rsidR="00AB0E44">
        <w:t xml:space="preserve"> </w:t>
      </w:r>
    </w:p>
    <w:p w14:paraId="7113E3EE" w14:textId="57BB3C31" w:rsidR="00EB1485" w:rsidRPr="00EB1485" w:rsidRDefault="00EB1485" w:rsidP="00EB1485">
      <w:pPr>
        <w:ind w:left="709"/>
        <w:jc w:val="both"/>
      </w:pPr>
      <w:bookmarkStart w:id="0" w:name="_GoBack"/>
      <w:r>
        <w:t>„Centrum Egzaminowania i Monitorowania Maszynistów” jest realizowane</w:t>
      </w:r>
      <w:r w:rsidRPr="00EB1485">
        <w:t xml:space="preserve"> w ramach projektu POIS 5.2-21 pn. „Poprawa bezpieczeństwa kolejowego poprzez budowę Systemu Egzaminowania i Monitorowania Maszynistów”, współfinansowanego ze środków Funduszu Spójności Programu Operacyjnego Infrastruktura i Środowisko 2014-2020, oś priorytetowa V: Rozwój transportu kolejowego w Polsce, działanie 5.2: Rozwój transportu kolejowego poza TEN-T.</w:t>
      </w:r>
    </w:p>
    <w:bookmarkEnd w:id="0"/>
    <w:p w14:paraId="0F7F44AA" w14:textId="77777777" w:rsidR="00AB0E44" w:rsidRDefault="00557D3D" w:rsidP="00C2191D">
      <w:pPr>
        <w:pStyle w:val="Nagwek1"/>
      </w:pPr>
      <w:r w:rsidRPr="00411868">
        <w:t xml:space="preserve">Przedmiot zamówienia obejmuje </w:t>
      </w:r>
      <w:r w:rsidR="00AB0E44">
        <w:t>w szczególności:</w:t>
      </w:r>
    </w:p>
    <w:p w14:paraId="1C4AE26B" w14:textId="77777777" w:rsidR="00AB0E44" w:rsidRDefault="00557D3D" w:rsidP="00AB0E44">
      <w:pPr>
        <w:pStyle w:val="Nagwek2"/>
      </w:pPr>
      <w:r w:rsidRPr="00411868">
        <w:t xml:space="preserve">wykonywanie </w:t>
      </w:r>
      <w:r w:rsidR="00AB0E44">
        <w:t>wielobranżowego nadzoru inwestorskiego o specjalności:</w:t>
      </w:r>
    </w:p>
    <w:p w14:paraId="6FBA675B" w14:textId="1E0894EA" w:rsidR="00AB0E44" w:rsidRPr="00411868" w:rsidRDefault="00AB0E44" w:rsidP="00AB0E44">
      <w:pPr>
        <w:pStyle w:val="Nagwek3"/>
      </w:pPr>
      <w:r w:rsidRPr="00411868">
        <w:t>konstrukcyjno-budowlanej,</w:t>
      </w:r>
    </w:p>
    <w:p w14:paraId="5D1C0C63" w14:textId="2A5497DA" w:rsidR="00AB0E44" w:rsidRPr="00411868" w:rsidRDefault="00AB0E44" w:rsidP="00AB0E44">
      <w:pPr>
        <w:pStyle w:val="Nagwek3"/>
      </w:pPr>
      <w:r w:rsidRPr="00411868">
        <w:t>instalacyjnej w zakresie sieci, instalacji i urządzeń cieplnych, wentylacyjnych, wodociągowych, kanalizacyjnych i gazowych,</w:t>
      </w:r>
    </w:p>
    <w:p w14:paraId="18141566" w14:textId="16DDEE27" w:rsidR="00AB0E44" w:rsidRPr="00411868" w:rsidRDefault="00AB0E44" w:rsidP="00AB0E44">
      <w:pPr>
        <w:pStyle w:val="Nagwek3"/>
      </w:pPr>
      <w:r w:rsidRPr="00411868">
        <w:t xml:space="preserve">instalacyjnej w zakresie sieci, instalacji i urządzeń elektrycznych </w:t>
      </w:r>
      <w:r>
        <w:t>i </w:t>
      </w:r>
      <w:r w:rsidRPr="00411868">
        <w:t>elektroenergetycznych,</w:t>
      </w:r>
    </w:p>
    <w:p w14:paraId="6289ABBE" w14:textId="68355210" w:rsidR="00AB0E44" w:rsidRDefault="00AB0E44" w:rsidP="00AB0E44">
      <w:pPr>
        <w:pStyle w:val="Nagwek3"/>
      </w:pPr>
      <w:r w:rsidRPr="00411868">
        <w:t>instalacyjnej w zakresie sieci teletechnicznej</w:t>
      </w:r>
      <w:r>
        <w:t>.</w:t>
      </w:r>
    </w:p>
    <w:p w14:paraId="34346B69" w14:textId="3647EA01" w:rsidR="006D031B" w:rsidRPr="00411868" w:rsidRDefault="00557D3D" w:rsidP="00AB0E44">
      <w:pPr>
        <w:pStyle w:val="Nagwek2"/>
      </w:pPr>
      <w:r w:rsidRPr="00411868">
        <w:t xml:space="preserve">pełnienie funkcji Inspektora Nadzoru Inwestorskiego </w:t>
      </w:r>
      <w:r w:rsidR="00AB0E44">
        <w:t>w trakcie</w:t>
      </w:r>
      <w:r w:rsidRPr="00411868">
        <w:t xml:space="preserve"> realizacji </w:t>
      </w:r>
      <w:r w:rsidR="004B279A">
        <w:t>projektu, przez cały czas jego</w:t>
      </w:r>
      <w:r w:rsidR="00AB0E44">
        <w:t xml:space="preserve"> trwania.</w:t>
      </w:r>
    </w:p>
    <w:p w14:paraId="53714288" w14:textId="7FE902F3" w:rsidR="006D031B" w:rsidRPr="00C2191D" w:rsidRDefault="00557D3D" w:rsidP="00C2191D">
      <w:pPr>
        <w:pStyle w:val="Nagwek1"/>
      </w:pPr>
      <w:r w:rsidRPr="00C2191D">
        <w:t>Wykonawca jest zobowiązany do wyznaczenia jednego spośród inspektorów nadzoru jako koordynatora, który koordynuje działania pozostałych inspektorów. Inspektor koordynator sprawować będzie jednocześnie funkcję Inspektora Nadzoru Inwestorskiego w branży wiodącej tj. konstrukcyjno-budowlanej.</w:t>
      </w:r>
    </w:p>
    <w:p w14:paraId="6783151D" w14:textId="4086D7A5" w:rsidR="006D031B" w:rsidRPr="00C2191D" w:rsidRDefault="006C19C8" w:rsidP="00C2191D">
      <w:pPr>
        <w:pStyle w:val="Nagwek1"/>
      </w:pPr>
      <w:r w:rsidRPr="00C2191D">
        <w:t>Planowane przez Zamawiającego inwestycj</w:t>
      </w:r>
      <w:r w:rsidR="00D26690" w:rsidRPr="00C2191D">
        <w:t>e prowadzone będą w wynajmowanym</w:t>
      </w:r>
      <w:r w:rsidRPr="00C2191D">
        <w:t xml:space="preserve"> </w:t>
      </w:r>
      <w:r w:rsidR="00D26690" w:rsidRPr="00C2191D">
        <w:t xml:space="preserve">budynku przy </w:t>
      </w:r>
      <w:r w:rsidRPr="00C2191D">
        <w:t xml:space="preserve">al. Jerozolimskich 211 w Warszawie, dz. nr ew.: 16/2, </w:t>
      </w:r>
      <w:r w:rsidR="00AB0E44">
        <w:t>obręb 2-07-01, dzielnica Włochy</w:t>
      </w:r>
      <w:r w:rsidRPr="00C2191D">
        <w:t>, gdzie Zamawiający planuje otwarcie 1 stycznia 2023 r. Centrum Egzaminowania i Monitorowania Maszynistów.</w:t>
      </w:r>
    </w:p>
    <w:p w14:paraId="5C5F6523" w14:textId="35FFDDF7" w:rsidR="006D031B" w:rsidRPr="00C2191D" w:rsidRDefault="00557D3D" w:rsidP="00C2191D">
      <w:pPr>
        <w:pStyle w:val="Nagwek1"/>
      </w:pPr>
      <w:r w:rsidRPr="00C2191D">
        <w:t xml:space="preserve">Świadczenie usług nadzoru inwestorskiego sprawowane będzie przede wszystkim </w:t>
      </w:r>
      <w:r w:rsidR="00DB28BE" w:rsidRPr="00C2191D">
        <w:t>na </w:t>
      </w:r>
      <w:r w:rsidRPr="00C2191D">
        <w:t>podstawie:</w:t>
      </w:r>
    </w:p>
    <w:p w14:paraId="0F3A1A5B" w14:textId="77777777" w:rsidR="006D031B" w:rsidRPr="00411868" w:rsidRDefault="006A7865" w:rsidP="00C2191D">
      <w:pPr>
        <w:pStyle w:val="Nagwek2"/>
      </w:pPr>
      <w:r w:rsidRPr="00411868">
        <w:t xml:space="preserve">art. 25-27 </w:t>
      </w:r>
      <w:r w:rsidR="00557D3D" w:rsidRPr="00411868">
        <w:t xml:space="preserve">ustawy z dnia </w:t>
      </w:r>
      <w:r w:rsidR="005669A4" w:rsidRPr="00411868">
        <w:t xml:space="preserve">ustawy z dnia 7 lipca 1994 r. prawo budowlane </w:t>
      </w:r>
      <w:r w:rsidR="00F461B7" w:rsidRPr="00411868">
        <w:br/>
      </w:r>
      <w:r w:rsidR="005669A4" w:rsidRPr="00411868">
        <w:t>(Dz. U. z 2020 r. poz. 1333 z późn. zm.)</w:t>
      </w:r>
      <w:r w:rsidR="00833AF2" w:rsidRPr="00411868">
        <w:t>, dalej jako prawo budowlane</w:t>
      </w:r>
      <w:r w:rsidR="005669A4" w:rsidRPr="00411868">
        <w:t>,</w:t>
      </w:r>
    </w:p>
    <w:p w14:paraId="7E419CD4" w14:textId="77777777" w:rsidR="006D031B" w:rsidRPr="00411868" w:rsidRDefault="00557D3D" w:rsidP="00C2191D">
      <w:pPr>
        <w:pStyle w:val="Nagwek2"/>
      </w:pPr>
      <w:r w:rsidRPr="00411868">
        <w:t>umowy o świadczeni</w:t>
      </w:r>
      <w:r w:rsidR="00F461B7" w:rsidRPr="00411868">
        <w:t>e usług nadzoru inwestorskiego,</w:t>
      </w:r>
    </w:p>
    <w:p w14:paraId="21E4E679" w14:textId="0D3182D6" w:rsidR="006D031B" w:rsidRPr="00411868" w:rsidRDefault="00557D3D" w:rsidP="00C2191D">
      <w:pPr>
        <w:pStyle w:val="Nagwek2"/>
      </w:pPr>
      <w:r w:rsidRPr="00411868">
        <w:t>obow</w:t>
      </w:r>
      <w:r w:rsidR="006D031B" w:rsidRPr="00411868">
        <w:t>iązujących przepisów techniczno-</w:t>
      </w:r>
      <w:r w:rsidRPr="00411868">
        <w:t>budowlanych (ustawy i akty wykonawcze),</w:t>
      </w:r>
    </w:p>
    <w:p w14:paraId="59453FE0" w14:textId="77777777" w:rsidR="006D031B" w:rsidRPr="00411868" w:rsidRDefault="00557D3D" w:rsidP="00C2191D">
      <w:pPr>
        <w:pStyle w:val="Nagwek2"/>
      </w:pPr>
      <w:r w:rsidRPr="00411868">
        <w:t xml:space="preserve">polskich </w:t>
      </w:r>
      <w:r w:rsidR="005669A4" w:rsidRPr="00411868">
        <w:t>i/</w:t>
      </w:r>
      <w:r w:rsidR="00F461B7" w:rsidRPr="00411868">
        <w:t>lub europejskich norm,</w:t>
      </w:r>
    </w:p>
    <w:p w14:paraId="273B8A3E" w14:textId="77777777" w:rsidR="006D031B" w:rsidRPr="00411868" w:rsidRDefault="005669A4" w:rsidP="00C2191D">
      <w:pPr>
        <w:pStyle w:val="Nagwek2"/>
      </w:pPr>
      <w:r w:rsidRPr="00411868">
        <w:t>wiedzy technicznej Wykonawcy,</w:t>
      </w:r>
    </w:p>
    <w:p w14:paraId="07AFF7FD" w14:textId="653B1904" w:rsidR="00557D3D" w:rsidRPr="00411868" w:rsidRDefault="00557D3D" w:rsidP="00C2191D">
      <w:pPr>
        <w:pStyle w:val="Nagwek2"/>
      </w:pPr>
      <w:r w:rsidRPr="00411868">
        <w:t>zasad sztuki budowlanej.</w:t>
      </w:r>
    </w:p>
    <w:p w14:paraId="1F34A30E" w14:textId="77777777" w:rsidR="006D031B" w:rsidRPr="00411868" w:rsidRDefault="00557D3D" w:rsidP="00C2191D">
      <w:pPr>
        <w:pStyle w:val="Nagwek1"/>
      </w:pPr>
      <w:r w:rsidRPr="00411868">
        <w:t>W ramach zamówienia Inspektor Nadzoru Inwestorskiego będzie koordynował, nadzorował, kontrolował i rozliczał realizację ww. inwestycji w zakresie:</w:t>
      </w:r>
    </w:p>
    <w:p w14:paraId="230AF9E2" w14:textId="77777777" w:rsidR="006D031B" w:rsidRPr="00411868" w:rsidRDefault="00557D3D" w:rsidP="00C2191D">
      <w:pPr>
        <w:pStyle w:val="Nagwek2"/>
      </w:pPr>
      <w:r w:rsidRPr="00411868">
        <w:t>robót konstrukcyjno-montażowych</w:t>
      </w:r>
      <w:r w:rsidR="005669A4" w:rsidRPr="00411868">
        <w:t>,</w:t>
      </w:r>
    </w:p>
    <w:p w14:paraId="615D1807" w14:textId="77777777" w:rsidR="006D031B" w:rsidRPr="00411868" w:rsidRDefault="00557D3D" w:rsidP="00C2191D">
      <w:pPr>
        <w:pStyle w:val="Nagwek2"/>
      </w:pPr>
      <w:r w:rsidRPr="00411868">
        <w:t>robót sanitarnych i elektrycznych objętych opracowaniami branżowymi robót wykończeniowych</w:t>
      </w:r>
      <w:r w:rsidR="005669A4" w:rsidRPr="00411868">
        <w:t>,</w:t>
      </w:r>
    </w:p>
    <w:p w14:paraId="36B66D26" w14:textId="04AFA517" w:rsidR="00557D3D" w:rsidRPr="00411868" w:rsidRDefault="00557D3D" w:rsidP="00C2191D">
      <w:pPr>
        <w:pStyle w:val="Nagwek2"/>
      </w:pPr>
      <w:r w:rsidRPr="00411868">
        <w:lastRenderedPageBreak/>
        <w:t>robót wykończeniowych</w:t>
      </w:r>
      <w:r w:rsidR="005669A4" w:rsidRPr="00411868">
        <w:t>/adaptacyjnych.</w:t>
      </w:r>
    </w:p>
    <w:p w14:paraId="0C056F11" w14:textId="3B1E6977" w:rsidR="001D3A53" w:rsidRPr="00C2191D" w:rsidRDefault="001D3A53" w:rsidP="006D031B">
      <w:pPr>
        <w:pStyle w:val="Bezodstpw"/>
        <w:rPr>
          <w:b/>
        </w:rPr>
      </w:pPr>
      <w:r w:rsidRPr="00C2191D">
        <w:rPr>
          <w:b/>
        </w:rPr>
        <w:t xml:space="preserve">Zakres </w:t>
      </w:r>
      <w:r w:rsidR="001D46C0">
        <w:rPr>
          <w:b/>
        </w:rPr>
        <w:t>inwestycji CEMM:</w:t>
      </w:r>
    </w:p>
    <w:p w14:paraId="34EF2BCB" w14:textId="5526084A" w:rsidR="006D031B" w:rsidRPr="00411868" w:rsidRDefault="001D3A53" w:rsidP="00C2191D">
      <w:pPr>
        <w:pStyle w:val="Nagwek1"/>
      </w:pPr>
      <w:r w:rsidRPr="00411868">
        <w:t>W ramach planowanej inwestycji zaplanowane są następujące zadania w CEMM:</w:t>
      </w:r>
    </w:p>
    <w:p w14:paraId="0BC994B5" w14:textId="1ECE54BF" w:rsidR="006D031B" w:rsidRPr="00411868" w:rsidRDefault="001D3A53" w:rsidP="00C2191D">
      <w:pPr>
        <w:pStyle w:val="Nagwek2"/>
      </w:pPr>
      <w:r w:rsidRPr="00411868">
        <w:t>adaptacja pomieszczeń administracyjno-biurowych, w części dotyczącej powierzchni biurowej wynoszącej ok. 488,20 m</w:t>
      </w:r>
      <w:r w:rsidRPr="00411868">
        <w:rPr>
          <w:vertAlign w:val="superscript"/>
        </w:rPr>
        <w:t>2</w:t>
      </w:r>
      <w:r w:rsidRPr="00411868">
        <w:t>, wr</w:t>
      </w:r>
      <w:r w:rsidR="00084067">
        <w:t>az z niezbędnymi instalacjami i </w:t>
      </w:r>
      <w:r w:rsidRPr="00411868">
        <w:t>wyposażeniem pomieszczeń, dalej jako Zadanie 1,</w:t>
      </w:r>
    </w:p>
    <w:p w14:paraId="6D239F8D" w14:textId="5A891F5A" w:rsidR="006D031B" w:rsidRPr="00411868" w:rsidRDefault="001D3A53" w:rsidP="00C2191D">
      <w:pPr>
        <w:pStyle w:val="Nagwek2"/>
      </w:pPr>
      <w:r w:rsidRPr="00411868">
        <w:t xml:space="preserve">adaptacja powierzchni </w:t>
      </w:r>
      <w:r w:rsidR="00D26690" w:rsidRPr="00411868">
        <w:t>budynku/hali</w:t>
      </w:r>
      <w:r w:rsidRPr="00411868">
        <w:t xml:space="preserve"> służąca posadowieniu symulatorów kolejowych oraz powierzchni </w:t>
      </w:r>
      <w:proofErr w:type="spellStart"/>
      <w:r w:rsidRPr="00411868">
        <w:t>sal</w:t>
      </w:r>
      <w:proofErr w:type="spellEnd"/>
      <w:r w:rsidRPr="00411868">
        <w:t xml:space="preserve"> egzaminacyjnych, wraz z ni</w:t>
      </w:r>
      <w:r w:rsidR="00084067">
        <w:t>ezbędnymi instalacjami i </w:t>
      </w:r>
      <w:r w:rsidRPr="00411868">
        <w:t>wyposażeniem pomieszczeń, dalej jako Zadan</w:t>
      </w:r>
      <w:r w:rsidR="00084067">
        <w:t>ie 2, zgodnie z dokumentacją do </w:t>
      </w:r>
      <w:r w:rsidRPr="00411868">
        <w:t>zamówienia publicznego Zamawiającego nr BDG-WZPU.2501.15.2020,</w:t>
      </w:r>
    </w:p>
    <w:p w14:paraId="06307154" w14:textId="779BE600" w:rsidR="001D3A53" w:rsidRPr="00345A0E" w:rsidRDefault="001D3A53" w:rsidP="00C2191D">
      <w:pPr>
        <w:pStyle w:val="Nagwek2"/>
      </w:pPr>
      <w:r w:rsidRPr="00411868">
        <w:t>dostawa i implementacja komory bezpie</w:t>
      </w:r>
      <w:r w:rsidR="00084067">
        <w:t xml:space="preserve">czeństwa IT (serwerowni) wraz </w:t>
      </w:r>
      <w:r w:rsidR="00084067" w:rsidRPr="00345A0E">
        <w:t>z </w:t>
      </w:r>
      <w:r w:rsidRPr="00345A0E">
        <w:t>niezbędnym wyposażeniem, dalej jako Zadanie 3.</w:t>
      </w:r>
    </w:p>
    <w:p w14:paraId="5DBF5722" w14:textId="7BE72B33" w:rsidR="001D3A53" w:rsidRPr="00951990" w:rsidRDefault="001D3A53" w:rsidP="00C2191D">
      <w:pPr>
        <w:pStyle w:val="Nagwek1"/>
      </w:pPr>
      <w:r w:rsidRPr="00951990">
        <w:t xml:space="preserve">Zadania 2 i 3 wykonane </w:t>
      </w:r>
      <w:r w:rsidR="00AB0E44">
        <w:t>powinny być</w:t>
      </w:r>
      <w:r w:rsidRPr="00951990">
        <w:t xml:space="preserve"> zgodnie z „Koncepcją Funkcjonalno-Przestrzenną Centrum Egzaminowania i Monitorowania Maszynistów”.</w:t>
      </w:r>
    </w:p>
    <w:p w14:paraId="79A673EB" w14:textId="0005C211" w:rsidR="00C73083" w:rsidRPr="00C2191D" w:rsidRDefault="00C73083" w:rsidP="006D031B">
      <w:pPr>
        <w:pStyle w:val="Bezodstpw"/>
        <w:rPr>
          <w:b/>
        </w:rPr>
      </w:pPr>
      <w:r w:rsidRPr="00C2191D">
        <w:rPr>
          <w:b/>
        </w:rPr>
        <w:t>Opis stanu istniejącego budynku</w:t>
      </w:r>
    </w:p>
    <w:p w14:paraId="112CA0CC" w14:textId="4DD26B69" w:rsidR="00C73083" w:rsidRPr="00411868" w:rsidRDefault="00C73083" w:rsidP="00C2191D">
      <w:pPr>
        <w:pStyle w:val="Nagwek1"/>
      </w:pPr>
      <w:r w:rsidRPr="00411868">
        <w:t>Budynek jest eksploatowany jako magazynowy i biurowy. W obiekcie mają swoje siedziby podmioty, które użytkują wydzielone części w sposób zgodny z rodzajem prowadzonej działalności.</w:t>
      </w:r>
    </w:p>
    <w:p w14:paraId="78216A9A" w14:textId="377EBF2F" w:rsidR="00C73083" w:rsidRPr="00411868" w:rsidRDefault="00C73083" w:rsidP="00C2191D">
      <w:pPr>
        <w:pStyle w:val="Nagwek1"/>
      </w:pPr>
      <w:r w:rsidRPr="00411868">
        <w:t>Budynek został już wybudowany na podstawie praw</w:t>
      </w:r>
      <w:r w:rsidR="00345A0E">
        <w:t>omocnej decyzji o pozwoleniu na </w:t>
      </w:r>
      <w:r w:rsidRPr="00411868">
        <w:t>budowę i z założenia jest przeznaczony do adaptacji dla funkcji biurowo-magazynowych.</w:t>
      </w:r>
    </w:p>
    <w:p w14:paraId="65CF44FC" w14:textId="7207323C" w:rsidR="00C73083" w:rsidRPr="00411868" w:rsidRDefault="00C73083" w:rsidP="00C2191D">
      <w:pPr>
        <w:pStyle w:val="Nagwek1"/>
      </w:pPr>
      <w:r w:rsidRPr="00411868">
        <w:t>Przedmiotowy obiekt składa się z części magazynowej PM oraz biurowej ZLIII, które charakteryzują się odpowiednimi warunkami ochrony przeciwpożarowej i ochrony ludzi.</w:t>
      </w:r>
    </w:p>
    <w:p w14:paraId="32E4FBCF" w14:textId="59D78354" w:rsidR="00C73083" w:rsidRPr="00411868" w:rsidRDefault="00C73083" w:rsidP="00C2191D">
      <w:pPr>
        <w:pStyle w:val="Nagwek1"/>
      </w:pPr>
      <w:r w:rsidRPr="00411868">
        <w:t xml:space="preserve">Budynek jest niepodpiwniczony. Składa się z cztero- i dwukondygnacyjnych biur oraz hal magazynowych. Dla podkreślenia wejść do części biurowych wyższe kondygnacje biurowe zostały miejscowo nadwieszone. W hali oświetlenie dzienne zapewniane jest przez świetliki w dachu. Hala magazynowa posiada ścianę </w:t>
      </w:r>
      <w:r w:rsidR="00345A0E">
        <w:t>zewnętrzną z płyty warstwowej z</w:t>
      </w:r>
      <w:r w:rsidR="001D034B">
        <w:t xml:space="preserve"> </w:t>
      </w:r>
      <w:r w:rsidRPr="00411868">
        <w:t>rdzeniem z izolacji termicznej o gr.</w:t>
      </w:r>
      <w:r w:rsidR="00951990">
        <w:t xml:space="preserve"> 10-17 cm montowanej pionowo </w:t>
      </w:r>
      <w:r w:rsidR="00951990" w:rsidRPr="00951990">
        <w:t>do</w:t>
      </w:r>
      <w:r w:rsidR="00951990">
        <w:t> </w:t>
      </w:r>
      <w:r w:rsidRPr="00951990">
        <w:t>konstrukcji</w:t>
      </w:r>
      <w:r w:rsidRPr="00411868">
        <w:t xml:space="preserve"> żelbetowej hali i stalowej konstrukcji pośredniej. Od poziomu fundamentów do poziomu 30 cm ponad teren zaprojektowano prefabrykowane podwaliny trójwarstwowe, z zewnątrz wykończone betonem architektonicznym. Posadzka wzmocniona włóknami rozproszonymi </w:t>
      </w:r>
      <w:proofErr w:type="spellStart"/>
      <w:r w:rsidRPr="00411868">
        <w:t>Dramix</w:t>
      </w:r>
      <w:proofErr w:type="spellEnd"/>
      <w:r w:rsidRPr="00411868">
        <w:t xml:space="preserve">, </w:t>
      </w:r>
      <w:proofErr w:type="spellStart"/>
      <w:r w:rsidRPr="00411868">
        <w:t>dylatowana</w:t>
      </w:r>
      <w:proofErr w:type="spellEnd"/>
      <w:r w:rsidRPr="00411868">
        <w:t xml:space="preserve"> </w:t>
      </w:r>
      <w:r w:rsidR="00951990">
        <w:t>na całym obwodzie i</w:t>
      </w:r>
      <w:r w:rsidR="001D034B">
        <w:t xml:space="preserve"> </w:t>
      </w:r>
      <w:r w:rsidR="00951990">
        <w:t>w</w:t>
      </w:r>
      <w:r w:rsidR="001D034B">
        <w:t xml:space="preserve"> </w:t>
      </w:r>
      <w:r w:rsidRPr="00411868">
        <w:t xml:space="preserve">styku ze słupami, wykończona warstwą utwardzającą typu </w:t>
      </w:r>
      <w:proofErr w:type="spellStart"/>
      <w:r w:rsidRPr="00411868">
        <w:t>Durobet</w:t>
      </w:r>
      <w:proofErr w:type="spellEnd"/>
      <w:r w:rsidRPr="00411868">
        <w:t>, odporną mechanicznie na ruch kołowy i ch</w:t>
      </w:r>
      <w:r w:rsidR="00345A0E">
        <w:t>emicznie na </w:t>
      </w:r>
      <w:r w:rsidRPr="00411868">
        <w:t>działania benzyny, olejów i soli drogowych.</w:t>
      </w:r>
    </w:p>
    <w:p w14:paraId="159CF59D" w14:textId="0A39EB63" w:rsidR="00C73083" w:rsidRPr="00411868" w:rsidRDefault="00C73083" w:rsidP="00C2191D">
      <w:pPr>
        <w:pStyle w:val="Nagwek1"/>
      </w:pPr>
      <w:r w:rsidRPr="00411868">
        <w:t>Podstawowe dane dotyczące inwestycji:</w:t>
      </w:r>
    </w:p>
    <w:p w14:paraId="41875177" w14:textId="3A4B3E13" w:rsidR="00C73083" w:rsidRPr="006D031B" w:rsidRDefault="00D26690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  <w:vertAlign w:val="superscript"/>
        </w:rPr>
      </w:pPr>
      <w:r w:rsidRPr="006D031B">
        <w:rPr>
          <w:rFonts w:eastAsia="Calibri" w:cs="Times New Roman"/>
          <w:bCs/>
          <w:szCs w:val="24"/>
        </w:rPr>
        <w:t>Kubatura budynku – 34 157,5 m</w:t>
      </w:r>
      <w:r w:rsidRPr="006D031B">
        <w:rPr>
          <w:rFonts w:eastAsia="Calibri" w:cs="Times New Roman"/>
          <w:bCs/>
          <w:szCs w:val="24"/>
          <w:vertAlign w:val="superscript"/>
        </w:rPr>
        <w:t>3</w:t>
      </w:r>
    </w:p>
    <w:p w14:paraId="7F4D1C5E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Maksymalna wysokość części średniowysokiej IV  k. – 17,5m</w:t>
      </w:r>
    </w:p>
    <w:p w14:paraId="4C462FB1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Maksymalna wysokość hali – 12 m</w:t>
      </w:r>
    </w:p>
    <w:p w14:paraId="3BA088B8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Szerokość elewacji frontowej – 45 m</w:t>
      </w:r>
    </w:p>
    <w:p w14:paraId="18A9D882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Szerokość elewacji bocznej – 95,7 m</w:t>
      </w:r>
    </w:p>
    <w:p w14:paraId="46E3A8A6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Liczba kondygnacji nadziemnych (część biurowa wyższa) - 4</w:t>
      </w:r>
    </w:p>
    <w:p w14:paraId="26C9D5B4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Liczba kondygnacji nadziemnych (część biurowa niższa) - 2</w:t>
      </w:r>
    </w:p>
    <w:p w14:paraId="2818155C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Liczba kondygnacji nadziemnych (część magazynowa) - 1</w:t>
      </w:r>
    </w:p>
    <w:p w14:paraId="3EF84263" w14:textId="77777777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lastRenderedPageBreak/>
        <w:t>Poziom parteru (poziom 0.00 budynku) – 110,5 m n.p.m.</w:t>
      </w:r>
    </w:p>
    <w:p w14:paraId="5517B33E" w14:textId="59EBE79C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  <w:vertAlign w:val="superscript"/>
        </w:rPr>
      </w:pPr>
      <w:r w:rsidRPr="006D031B">
        <w:rPr>
          <w:rFonts w:eastAsia="Calibri" w:cs="Times New Roman"/>
          <w:bCs/>
          <w:szCs w:val="24"/>
        </w:rPr>
        <w:t>Powierzchnia całkowita kond</w:t>
      </w:r>
      <w:r w:rsidR="00D26690" w:rsidRPr="006D031B">
        <w:rPr>
          <w:rFonts w:eastAsia="Calibri" w:cs="Times New Roman"/>
          <w:bCs/>
          <w:szCs w:val="24"/>
        </w:rPr>
        <w:t>ygnacji nadziemnych – 4 347,9 m</w:t>
      </w:r>
      <w:r w:rsidR="00D26690" w:rsidRPr="006D031B">
        <w:rPr>
          <w:rFonts w:eastAsia="Calibri" w:cs="Times New Roman"/>
          <w:bCs/>
          <w:szCs w:val="24"/>
          <w:vertAlign w:val="superscript"/>
        </w:rPr>
        <w:t>2</w:t>
      </w:r>
    </w:p>
    <w:p w14:paraId="09444537" w14:textId="358AAC14" w:rsidR="00C73083" w:rsidRPr="006D031B" w:rsidRDefault="00C73083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 w:rsidRPr="006D031B">
        <w:rPr>
          <w:rFonts w:eastAsia="Calibri" w:cs="Times New Roman"/>
          <w:bCs/>
          <w:szCs w:val="24"/>
        </w:rPr>
        <w:t>Powierzchnia użytkowa ko</w:t>
      </w:r>
      <w:r w:rsidR="00D26690" w:rsidRPr="006D031B">
        <w:rPr>
          <w:rFonts w:eastAsia="Calibri" w:cs="Times New Roman"/>
          <w:bCs/>
          <w:szCs w:val="24"/>
        </w:rPr>
        <w:t>ndygnacji nadziemnych – 4 012 m</w:t>
      </w:r>
      <w:r w:rsidR="00D26690" w:rsidRPr="006D031B">
        <w:rPr>
          <w:rFonts w:eastAsia="Calibri" w:cs="Times New Roman"/>
          <w:bCs/>
          <w:szCs w:val="24"/>
          <w:vertAlign w:val="superscript"/>
        </w:rPr>
        <w:t>2</w:t>
      </w:r>
      <w:r w:rsidRPr="006D031B">
        <w:rPr>
          <w:rFonts w:eastAsia="Calibri" w:cs="Times New Roman"/>
          <w:bCs/>
          <w:szCs w:val="24"/>
        </w:rPr>
        <w:t xml:space="preserve"> </w:t>
      </w:r>
    </w:p>
    <w:p w14:paraId="38A5F62C" w14:textId="5DE1FC90" w:rsidR="00C73083" w:rsidRPr="006D031B" w:rsidRDefault="00D26690" w:rsidP="006D031B">
      <w:pPr>
        <w:pStyle w:val="Akapitzlis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  <w:vertAlign w:val="superscript"/>
        </w:rPr>
      </w:pPr>
      <w:r w:rsidRPr="006D031B">
        <w:rPr>
          <w:rFonts w:eastAsia="Calibri" w:cs="Times New Roman"/>
          <w:bCs/>
          <w:szCs w:val="24"/>
        </w:rPr>
        <w:t>W tym – biura 1967,9 m</w:t>
      </w:r>
      <w:r w:rsidRPr="006D031B">
        <w:rPr>
          <w:rFonts w:eastAsia="Calibri" w:cs="Times New Roman"/>
          <w:bCs/>
          <w:szCs w:val="24"/>
          <w:vertAlign w:val="superscript"/>
        </w:rPr>
        <w:t>2</w:t>
      </w:r>
      <w:r w:rsidR="00C73083" w:rsidRPr="006D031B">
        <w:rPr>
          <w:rFonts w:eastAsia="Calibri" w:cs="Times New Roman"/>
          <w:bCs/>
          <w:szCs w:val="24"/>
        </w:rPr>
        <w:t xml:space="preserve"> i hala – 2003,5 </w:t>
      </w:r>
      <w:r w:rsidRPr="006D031B">
        <w:rPr>
          <w:rFonts w:eastAsia="Calibri" w:cs="Times New Roman"/>
          <w:bCs/>
          <w:szCs w:val="24"/>
        </w:rPr>
        <w:t>m</w:t>
      </w:r>
      <w:r w:rsidRPr="006D031B">
        <w:rPr>
          <w:rFonts w:eastAsia="Calibri" w:cs="Times New Roman"/>
          <w:bCs/>
          <w:szCs w:val="24"/>
          <w:vertAlign w:val="superscript"/>
        </w:rPr>
        <w:t>2</w:t>
      </w:r>
    </w:p>
    <w:p w14:paraId="68BB0237" w14:textId="6596CE84" w:rsidR="006C19C8" w:rsidRPr="00084067" w:rsidRDefault="00C73083" w:rsidP="00C2191D">
      <w:pPr>
        <w:pStyle w:val="Nagwek1"/>
      </w:pPr>
      <w:r w:rsidRPr="00084067">
        <w:t xml:space="preserve">Zgodnie z wymogami </w:t>
      </w:r>
      <w:r w:rsidR="006C19C8" w:rsidRPr="00084067">
        <w:t>Zamawiającego</w:t>
      </w:r>
      <w:r w:rsidRPr="00084067">
        <w:t xml:space="preserve"> na potrzeby </w:t>
      </w:r>
      <w:r w:rsidR="006C19C8" w:rsidRPr="00084067">
        <w:t>CEMM</w:t>
      </w:r>
      <w:r w:rsidRPr="00084067">
        <w:t>, planuje się zaimplementować część hali magazynowej oraz parter i pierwsze piętro powierzchni budynku biurowego. Na potrzeby ww. funkcji hala magazynowa została przekwalifikowana z obie</w:t>
      </w:r>
      <w:r w:rsidR="00D26690" w:rsidRPr="00084067">
        <w:t>ktu typu PM na obiekt typu ZL. W</w:t>
      </w:r>
      <w:r w:rsidRPr="00084067">
        <w:t xml:space="preserve"> </w:t>
      </w:r>
      <w:r w:rsidR="00D26690" w:rsidRPr="00084067">
        <w:t>budynku</w:t>
      </w:r>
      <w:r w:rsidRPr="00084067">
        <w:t xml:space="preserve"> nie przewiduje się funkcji magazynowych. </w:t>
      </w:r>
      <w:r w:rsidR="00D26690" w:rsidRPr="00084067">
        <w:t>Budynek będzie pełnił</w:t>
      </w:r>
      <w:r w:rsidRPr="00084067">
        <w:t xml:space="preserve"> funkcję</w:t>
      </w:r>
      <w:r w:rsidR="00951990">
        <w:t xml:space="preserve"> zespołów pomieszczeń do </w:t>
      </w:r>
      <w:r w:rsidRPr="00084067">
        <w:t>egzaminowania maszynistów. Parter i pierwsze piętro biur to założenia biurowo-administracyjne służące funkcjom egzaminacy</w:t>
      </w:r>
      <w:r w:rsidR="00951990">
        <w:t>jnym maszynistów, ich obsługi i </w:t>
      </w:r>
      <w:r w:rsidRPr="00084067">
        <w:t>monitorowania.</w:t>
      </w:r>
    </w:p>
    <w:p w14:paraId="5D856BD6" w14:textId="77777777" w:rsidR="006C19C8" w:rsidRDefault="006C19C8" w:rsidP="00C73083">
      <w:p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</w:p>
    <w:p w14:paraId="54050B2F" w14:textId="6950D843" w:rsidR="00C73083" w:rsidRPr="00C73083" w:rsidRDefault="006C19C8" w:rsidP="00C73083">
      <w:pPr>
        <w:tabs>
          <w:tab w:val="left" w:pos="284"/>
        </w:tabs>
        <w:spacing w:before="12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noProof/>
          <w:szCs w:val="24"/>
        </w:rPr>
        <w:drawing>
          <wp:inline distT="0" distB="0" distL="0" distR="0" wp14:anchorId="7EC89960" wp14:editId="1442C064">
            <wp:extent cx="5761355" cy="28473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9D97A" w14:textId="77777777" w:rsidR="006C19C8" w:rsidRPr="00833AF2" w:rsidRDefault="006C19C8" w:rsidP="006C19C8">
      <w:pPr>
        <w:rPr>
          <w:rFonts w:cs="Times New Roman"/>
          <w:u w:val="single"/>
        </w:rPr>
      </w:pPr>
      <w:r w:rsidRPr="00833AF2">
        <w:rPr>
          <w:rFonts w:cs="Times New Roman"/>
          <w:u w:val="single"/>
        </w:rPr>
        <w:t xml:space="preserve">Rys. 1 Obszar przedmiotu zamówienia </w:t>
      </w:r>
    </w:p>
    <w:p w14:paraId="68290E03" w14:textId="61BDD548" w:rsidR="006C19C8" w:rsidRPr="00084067" w:rsidRDefault="006C19C8" w:rsidP="00C2191D">
      <w:pPr>
        <w:pStyle w:val="Nagwek1"/>
      </w:pPr>
      <w:r w:rsidRPr="00084067">
        <w:t>Hala Magazynowa stanowi odrę</w:t>
      </w:r>
      <w:r w:rsidR="001D3A53" w:rsidRPr="00084067">
        <w:t>bną strefę pożar</w:t>
      </w:r>
      <w:r w:rsidR="00345A0E">
        <w:t>ową w stosunku do przyległej do </w:t>
      </w:r>
      <w:r w:rsidR="001D3A53" w:rsidRPr="00084067">
        <w:t>budynku części biurowej</w:t>
      </w:r>
      <w:r w:rsidRPr="00084067">
        <w:t xml:space="preserve">. </w:t>
      </w:r>
    </w:p>
    <w:p w14:paraId="6286E75A" w14:textId="183CF94A" w:rsidR="006C19C8" w:rsidRPr="00084067" w:rsidRDefault="006C19C8" w:rsidP="00C2191D">
      <w:pPr>
        <w:pStyle w:val="Nagwek1"/>
      </w:pPr>
      <w:r w:rsidRPr="00084067">
        <w:t>Fragment hali przeznaczonej na komorę IT ma powierzchnię ok. 30 m</w:t>
      </w:r>
      <w:r w:rsidRPr="00084067">
        <w:rPr>
          <w:vertAlign w:val="superscript"/>
        </w:rPr>
        <w:t>2</w:t>
      </w:r>
      <w:r w:rsidRPr="00084067">
        <w:t xml:space="preserve">, znajduje się </w:t>
      </w:r>
      <w:r w:rsidR="00345A0E">
        <w:t>na </w:t>
      </w:r>
      <w:r w:rsidRPr="00084067">
        <w:t>poziomie „0” budynku mieszczącym się przy Al. J</w:t>
      </w:r>
      <w:r w:rsidR="00411868">
        <w:t>erozolimskich 211 w Warszawie w </w:t>
      </w:r>
      <w:r w:rsidRPr="00084067">
        <w:t>części hali magazynowej. Szczegóły dotyczące</w:t>
      </w:r>
      <w:r w:rsidR="00411868">
        <w:t xml:space="preserve"> dostępnej dla Komory IT </w:t>
      </w:r>
      <w:r w:rsidR="00FB355A">
        <w:br/>
      </w:r>
      <w:r w:rsidR="00411868">
        <w:t>wraz z </w:t>
      </w:r>
      <w:r w:rsidRPr="00084067">
        <w:t>wyposażeniem przestrzeni należy skoordynować z dostawcą symulatorów, które mają się znaleźć w tej samej hali w ramach odrębnego postępowania.</w:t>
      </w:r>
    </w:p>
    <w:p w14:paraId="7B86C59F" w14:textId="055FDD88" w:rsidR="001A0B8A" w:rsidRPr="00C2191D" w:rsidRDefault="00AB0E44" w:rsidP="006D031B">
      <w:pPr>
        <w:pStyle w:val="Bezodstpw"/>
        <w:rPr>
          <w:b/>
        </w:rPr>
      </w:pPr>
      <w:r>
        <w:rPr>
          <w:b/>
        </w:rPr>
        <w:t>Zakres zadań</w:t>
      </w:r>
      <w:r w:rsidR="001A0B8A" w:rsidRPr="00C2191D">
        <w:rPr>
          <w:b/>
        </w:rPr>
        <w:t xml:space="preserve"> Wykonawcy</w:t>
      </w:r>
    </w:p>
    <w:p w14:paraId="0EF39436" w14:textId="69C3A6A2" w:rsidR="006C19C8" w:rsidRPr="00C2191D" w:rsidRDefault="006C19C8" w:rsidP="00C2191D">
      <w:pPr>
        <w:pStyle w:val="Nagwek1"/>
      </w:pPr>
      <w:r w:rsidRPr="00C2191D">
        <w:t xml:space="preserve">Zakres usługi obejmuje czynności wynikające z obowiązków inspektora nadzoru inwestorskiego i jego uprawnień, o których mowa w art. 25, 26 </w:t>
      </w:r>
      <w:r w:rsidR="001D13FD" w:rsidRPr="00C2191D">
        <w:t>prawa budowlanego.</w:t>
      </w:r>
    </w:p>
    <w:p w14:paraId="76B556F2" w14:textId="7B2EE019" w:rsidR="006C19C8" w:rsidRPr="00C2191D" w:rsidRDefault="006C19C8" w:rsidP="00C2191D">
      <w:pPr>
        <w:pStyle w:val="Nagwek1"/>
      </w:pPr>
      <w:r w:rsidRPr="00C2191D">
        <w:t xml:space="preserve">Nadzór ma charakter wielobranżowy (m.in. </w:t>
      </w:r>
      <w:proofErr w:type="spellStart"/>
      <w:r w:rsidRPr="00C2191D">
        <w:t>konstrukcyjno</w:t>
      </w:r>
      <w:proofErr w:type="spellEnd"/>
      <w:r w:rsidRPr="00C2191D">
        <w:t xml:space="preserve"> – budowlany, instalacyjny </w:t>
      </w:r>
      <w:r w:rsidR="00345A0E" w:rsidRPr="00C2191D">
        <w:t>w </w:t>
      </w:r>
      <w:r w:rsidRPr="00C2191D">
        <w:t>zakresie sieci, instalacji i urządzeń cieplnych, wentylacyjnych, gazowych, wodociągowych i kanalizacyjnych, instalacyjny w zakresie sieci, instalacji i urządzeń, elektrycznych i elektroenergetycznych, teletechnicznych). Do obowiązków podmiotu pełniącego nadzór inwestorski należeć będ</w:t>
      </w:r>
      <w:r w:rsidR="001D13FD" w:rsidRPr="00C2191D">
        <w:t xml:space="preserve">zie współpraca z Zamawiającym, </w:t>
      </w:r>
      <w:r w:rsidR="001D13FD" w:rsidRPr="00C2191D">
        <w:lastRenderedPageBreak/>
        <w:t>w</w:t>
      </w:r>
      <w:r w:rsidRPr="00C2191D">
        <w:t xml:space="preserve">ykonawcą robót oraz projektantem pełniącym nadzór autorski. Koordynator nadzoru sprawuję kontrolę nad pozostałymi inspektorami. Każdy </w:t>
      </w:r>
      <w:r w:rsidR="001D13FD" w:rsidRPr="00C2191D">
        <w:t>wniosek Inspektora Nadzoru</w:t>
      </w:r>
      <w:r w:rsidR="00345A0E" w:rsidRPr="00C2191D">
        <w:t xml:space="preserve"> lub </w:t>
      </w:r>
      <w:r w:rsidR="001D13FD" w:rsidRPr="00C2191D">
        <w:t>w</w:t>
      </w:r>
      <w:r w:rsidRPr="00C2191D">
        <w:t>ykonawcy robót budowlanych dotyczący zmian w stosunku do rozwiązań opisanych w OPZ i dokumentacji technicznej, która jest w trakcie opracowywania, musi być zaakceptowany przez Zamawiającego. Wykonawca będzie dokumentował wykonane roboty budowlane w postaci notatek, dokumentacji f</w:t>
      </w:r>
      <w:r w:rsidR="00345A0E" w:rsidRPr="00C2191D">
        <w:t>otograficznej, protokołów itp.</w:t>
      </w:r>
    </w:p>
    <w:p w14:paraId="7C585560" w14:textId="77777777" w:rsidR="001A0B8A" w:rsidRPr="00C2191D" w:rsidRDefault="001A0B8A" w:rsidP="00C2191D">
      <w:pPr>
        <w:pStyle w:val="Nagwek1"/>
      </w:pPr>
      <w:r w:rsidRPr="00C2191D">
        <w:t>Do obowiązków inspektora nadzoru inwestorskiego należeć będzie:</w:t>
      </w:r>
    </w:p>
    <w:p w14:paraId="63D04460" w14:textId="77777777" w:rsidR="001A0B8A" w:rsidRPr="00411868" w:rsidRDefault="001A0B8A" w:rsidP="00C2191D">
      <w:pPr>
        <w:pStyle w:val="Nagwek2"/>
      </w:pPr>
      <w:r w:rsidRPr="00411868">
        <w:t>reprezentowanie Zamawiającego w CEMM przez sprawowanie</w:t>
      </w:r>
      <w:r w:rsidR="005669A4" w:rsidRPr="00411868">
        <w:t xml:space="preserve"> kontroli zgodności realizacji Z</w:t>
      </w:r>
      <w:r w:rsidRPr="00411868">
        <w:t>adań z projektem lub pozwoleniem na budowę, przepisami oraz zasadami wiedzy technicznej,</w:t>
      </w:r>
    </w:p>
    <w:p w14:paraId="47DC047F" w14:textId="77777777" w:rsidR="001A0B8A" w:rsidRPr="00411868" w:rsidRDefault="001A0B8A" w:rsidP="00C2191D">
      <w:pPr>
        <w:pStyle w:val="Nagwek2"/>
      </w:pPr>
      <w:r w:rsidRPr="00411868">
        <w:t>sprawdzanie jakości wykonywanych robót budowlanych i stosowania przy wykonywaniu tych robót wyrobów,</w:t>
      </w:r>
    </w:p>
    <w:p w14:paraId="5EA54C02" w14:textId="79F2C8D0" w:rsidR="001A0B8A" w:rsidRPr="00411868" w:rsidRDefault="001A0B8A" w:rsidP="00C2191D">
      <w:pPr>
        <w:pStyle w:val="Nagwek2"/>
      </w:pPr>
      <w:r w:rsidRPr="00411868">
        <w:t xml:space="preserve">sprawdzanie i odbiór robót budowlanych, uczestniczenie w próbach i odbiorach technicznych instalacji, urządzeń technicznych i przewodów kominowych </w:t>
      </w:r>
      <w:r w:rsidR="00345A0E">
        <w:t>oraz </w:t>
      </w:r>
      <w:r w:rsidRPr="00411868">
        <w:t>przygotowanie i udział w czynnościach odbioru gotowych obiektów budowlanych i przekazywanie ich do użytkowania,</w:t>
      </w:r>
    </w:p>
    <w:p w14:paraId="79E5E2E8" w14:textId="538C7295" w:rsidR="006D031B" w:rsidRPr="00345A0E" w:rsidRDefault="001A0B8A" w:rsidP="00C2191D">
      <w:pPr>
        <w:pStyle w:val="Nagwek2"/>
      </w:pPr>
      <w:r w:rsidRPr="00411868">
        <w:t xml:space="preserve">potwierdzanie faktycznie wykonanych robót </w:t>
      </w:r>
      <w:r w:rsidR="00345A0E">
        <w:t>oraz usunięcia wad, a także, na</w:t>
      </w:r>
      <w:r w:rsidR="006F344C">
        <w:t xml:space="preserve"> </w:t>
      </w:r>
      <w:r w:rsidRPr="00411868">
        <w:t>żądanie inwestora, kontrolowanie rozliczeń budowy,</w:t>
      </w:r>
      <w:r w:rsidR="00345A0E">
        <w:t xml:space="preserve"> </w:t>
      </w:r>
      <w:r w:rsidRPr="00345A0E">
        <w:t>a w szczególności:</w:t>
      </w:r>
    </w:p>
    <w:p w14:paraId="01EDBCA0" w14:textId="2B370C76" w:rsidR="001D3A53" w:rsidRPr="00C2191D" w:rsidRDefault="001D3A53" w:rsidP="00C2191D">
      <w:pPr>
        <w:pStyle w:val="Nagwek3"/>
      </w:pPr>
      <w:r w:rsidRPr="00C2191D">
        <w:t>przekazanie wykonawcom robót budowlanych protokolarnie terenu budowy,</w:t>
      </w:r>
    </w:p>
    <w:p w14:paraId="38FB8E84" w14:textId="77777777" w:rsidR="006915E3" w:rsidRPr="00C2191D" w:rsidRDefault="006915E3" w:rsidP="00C2191D">
      <w:pPr>
        <w:pStyle w:val="Nagwek3"/>
      </w:pPr>
      <w:r w:rsidRPr="00C2191D">
        <w:t>analiza oraz merytoryczna i formalna weryfikacja dokumentacji projektowej, wykonawczej i powykonawczej sporządzonej przez wykonawców poszczególnych Zadań,</w:t>
      </w:r>
    </w:p>
    <w:p w14:paraId="259731CD" w14:textId="32159ED0" w:rsidR="006915E3" w:rsidRPr="00C2191D" w:rsidRDefault="006915E3" w:rsidP="00C2191D">
      <w:pPr>
        <w:pStyle w:val="Nagwek3"/>
      </w:pPr>
      <w:r w:rsidRPr="00C2191D">
        <w:t>reprezentowanie Zamawiającego na budowie poprzez sprawowanie kontroli zgodności jej realizacji z dokumentacją techniczną, specyfikacją techniczną wykonania i odbioru robót budowl</w:t>
      </w:r>
      <w:r w:rsidR="00345A0E" w:rsidRPr="00C2191D">
        <w:t>anych, obowiązującymi normami i </w:t>
      </w:r>
      <w:r w:rsidRPr="00C2191D">
        <w:t>przepisam</w:t>
      </w:r>
      <w:r w:rsidR="00E77E3E" w:rsidRPr="00C2191D">
        <w:t>i, w tym przepisami techniczno-</w:t>
      </w:r>
      <w:r w:rsidRPr="00C2191D">
        <w:t xml:space="preserve">budowlanymi oraz zasadami wiedzy technicznej; </w:t>
      </w:r>
      <w:r w:rsidR="00345A0E" w:rsidRPr="00C2191D">
        <w:t xml:space="preserve">w </w:t>
      </w:r>
      <w:r w:rsidRPr="00C2191D">
        <w:t xml:space="preserve">tym zakresie Wykonawca ma prawo </w:t>
      </w:r>
      <w:r w:rsidR="00345A0E" w:rsidRPr="00C2191D">
        <w:t>wydawać wiążące polecenia co do </w:t>
      </w:r>
      <w:r w:rsidRPr="00C2191D">
        <w:t>usunięcia nieprawidłowości lub zagrożeń, wykonania prób lub badań, także wymagających odkrycia robót lub elementów zakrytych, oraz przedstawienia ekspertyz dotyczących prowadzonych robót budowlanych, dowodów dopusz</w:t>
      </w:r>
      <w:r w:rsidR="006F344C">
        <w:t>czenia do obrotu i stosowania w </w:t>
      </w:r>
      <w:r w:rsidRPr="00C2191D">
        <w:t>budown</w:t>
      </w:r>
      <w:r w:rsidR="00345A0E" w:rsidRPr="00C2191D">
        <w:t>ictwie wyrobów budowlanych oraz</w:t>
      </w:r>
      <w:r w:rsidR="006F344C">
        <w:t xml:space="preserve"> </w:t>
      </w:r>
      <w:r w:rsidRPr="00C2191D">
        <w:t>urządzeń technicznych,</w:t>
      </w:r>
    </w:p>
    <w:p w14:paraId="345E42C4" w14:textId="77777777" w:rsidR="00E77E3E" w:rsidRPr="00C2191D" w:rsidRDefault="00E77E3E" w:rsidP="00C2191D">
      <w:pPr>
        <w:pStyle w:val="Nagwek3"/>
      </w:pPr>
      <w:r w:rsidRPr="00C2191D">
        <w:t>uczestniczenie we wszystkich czynnościach, do dokonania których zobowiązany jest Zamawiający, a dotyczących robót budowlanych realizowanych przez wykonawców Zadań, w okresie obowiązywania umowy, w tym prowadzenie narad technicznych - raz na tydzień, odbiorowych, problemowych i innych organizowanych przez którąkolwiek ze stron,</w:t>
      </w:r>
    </w:p>
    <w:p w14:paraId="1F342303" w14:textId="27B309AC" w:rsidR="00E77E3E" w:rsidRPr="00C2191D" w:rsidRDefault="00E77E3E" w:rsidP="00C2191D">
      <w:pPr>
        <w:pStyle w:val="Nagwek3"/>
      </w:pPr>
      <w:r w:rsidRPr="00C2191D">
        <w:t>niezwłoczne informowanie Zamawiając</w:t>
      </w:r>
      <w:r w:rsidR="00345A0E" w:rsidRPr="00C2191D">
        <w:t>ego o zamiarze zawarcia lub </w:t>
      </w:r>
      <w:r w:rsidRPr="00C2191D">
        <w:t>zawarciu przez któregokolwiek z wykonawców Zadań umowy o roboty budowlane z podwykonawcą,</w:t>
      </w:r>
    </w:p>
    <w:p w14:paraId="2E2FDA58" w14:textId="77777777" w:rsidR="00E77E3E" w:rsidRPr="00C2191D" w:rsidRDefault="00E77E3E" w:rsidP="00C2191D">
      <w:pPr>
        <w:pStyle w:val="Nagwek3"/>
      </w:pPr>
      <w:r w:rsidRPr="00C2191D">
        <w:t>współpraca z Zamawiającym, jednostką projektową i wykonawcą robót budowlanych w zakresie realizowanych robót budowlanych, w tym stałe konsultowanie i fachowe doradztwo na rzecz Zamawiającego celem wspólnego poszukiwania rozwiązań bieżących problemów,</w:t>
      </w:r>
    </w:p>
    <w:p w14:paraId="7CD83AE8" w14:textId="46ACECA2" w:rsidR="00E77E3E" w:rsidRPr="00C2191D" w:rsidRDefault="00E77E3E" w:rsidP="00C2191D">
      <w:pPr>
        <w:pStyle w:val="Nagwek3"/>
      </w:pPr>
      <w:r w:rsidRPr="00C2191D">
        <w:lastRenderedPageBreak/>
        <w:t>pisemne informowanie Zamawiająceg</w:t>
      </w:r>
      <w:r w:rsidR="00345A0E" w:rsidRPr="00C2191D">
        <w:t>o o postępie robót na budowie i </w:t>
      </w:r>
      <w:r w:rsidRPr="00C2191D">
        <w:t>ewentualnych trudnościach w ich realizacji – według potrzeb, nie rzadziej jednak niż raz w miesiącu, a także na każde wezwanie Zamawiającego,</w:t>
      </w:r>
    </w:p>
    <w:p w14:paraId="0E58C76D" w14:textId="78F79E8C" w:rsidR="00E77E3E" w:rsidRPr="00C2191D" w:rsidRDefault="00E77E3E" w:rsidP="00C2191D">
      <w:pPr>
        <w:pStyle w:val="Nagwek3"/>
      </w:pPr>
      <w:r w:rsidRPr="00C2191D">
        <w:t>weryfikacja wniosków materiałowych wykonawców Zadań dotyczących materiałów budowlanych i instalacyjnych, urządzeń i dostaw przewidzianych przez wykonawców Zadań do wbudowania pod kątem ich zgo</w:t>
      </w:r>
      <w:r w:rsidR="00345A0E" w:rsidRPr="00C2191D">
        <w:t>dności z </w:t>
      </w:r>
      <w:r w:rsidRPr="00C2191D">
        <w:t>dokumentacją projektową, kontrola dokumentów jakości, aprobat, deklaracji zgod</w:t>
      </w:r>
      <w:r w:rsidR="00F461B7" w:rsidRPr="00C2191D">
        <w:t>ności, atestów itp., w celu nie</w:t>
      </w:r>
      <w:r w:rsidRPr="00C2191D">
        <w:t>dopuszczenia do wbudowania materiałów wadliwych bądź n</w:t>
      </w:r>
      <w:r w:rsidR="00B17647">
        <w:t>iedopuszczonych do stosowania w </w:t>
      </w:r>
      <w:r w:rsidRPr="00C2191D">
        <w:t>budownictwie, a następnie kiero</w:t>
      </w:r>
      <w:r w:rsidR="00B17647">
        <w:t>wanie wniosków materiałowych do </w:t>
      </w:r>
      <w:r w:rsidRPr="00C2191D">
        <w:t>ostatecznej akceptacji Zamawiającego,</w:t>
      </w:r>
    </w:p>
    <w:p w14:paraId="7EE75EDC" w14:textId="637A92CC" w:rsidR="00E77E3E" w:rsidRPr="00C2191D" w:rsidRDefault="00E77E3E" w:rsidP="00C2191D">
      <w:pPr>
        <w:pStyle w:val="Nagwek3"/>
      </w:pPr>
      <w:r w:rsidRPr="00C2191D">
        <w:t>weryfikacja dokumentów dostarczonych przez wykonawcę robót budowlanych związanych z odbiorami robót budowlanych (odbiorem robót zanikających i ulegających zakryciu, odbiorem częściowym</w:t>
      </w:r>
      <w:r w:rsidR="00F461B7" w:rsidRPr="00C2191D">
        <w:t xml:space="preserve"> i odbiorem końcowym), w tym m.</w:t>
      </w:r>
      <w:r w:rsidRPr="00C2191D">
        <w:t>in. atestów, certyfikatów, świadectw jakości, wyników badań itp., sprawdzania protokołów oraz kontrola materiałów i urządzeń przed ich wbudowaniem,</w:t>
      </w:r>
    </w:p>
    <w:p w14:paraId="0D2F1BF4" w14:textId="7557410D" w:rsidR="00E77E3E" w:rsidRPr="00C2191D" w:rsidRDefault="00E77E3E" w:rsidP="00C2191D">
      <w:pPr>
        <w:pStyle w:val="Nagwek3"/>
      </w:pPr>
      <w:r w:rsidRPr="00C2191D">
        <w:t>sprawdzanie jakości</w:t>
      </w:r>
      <w:r w:rsidR="00345A0E" w:rsidRPr="00C2191D">
        <w:t xml:space="preserve"> wykonanych robót budowlanych i</w:t>
      </w:r>
      <w:r w:rsidR="00B17647">
        <w:t xml:space="preserve"> </w:t>
      </w:r>
      <w:r w:rsidRPr="00C2191D">
        <w:t xml:space="preserve">wbudowanych wyrobów budowlanych, a w szczególności zapobieganie zastosowaniu wyrobów budowlanych </w:t>
      </w:r>
      <w:r w:rsidR="00345A0E" w:rsidRPr="00C2191D">
        <w:t>wadliwych i niedopuszczonych do</w:t>
      </w:r>
      <w:r w:rsidR="00B17647">
        <w:t xml:space="preserve"> stosowania w </w:t>
      </w:r>
      <w:r w:rsidRPr="00C2191D">
        <w:t>budownictwie,</w:t>
      </w:r>
    </w:p>
    <w:p w14:paraId="63502732" w14:textId="6E49EB11" w:rsidR="00E77E3E" w:rsidRPr="00C2191D" w:rsidRDefault="00E77E3E" w:rsidP="00C2191D">
      <w:pPr>
        <w:pStyle w:val="Nagwek3"/>
      </w:pPr>
      <w:r w:rsidRPr="00C2191D">
        <w:t xml:space="preserve">nadzór nad terminowością </w:t>
      </w:r>
      <w:r w:rsidR="00345A0E" w:rsidRPr="00C2191D">
        <w:t>realizacji robót budowlanych, w</w:t>
      </w:r>
      <w:r w:rsidR="00B17647">
        <w:t xml:space="preserve"> szczególności w </w:t>
      </w:r>
      <w:r w:rsidRPr="00C2191D">
        <w:t>zakresie dotrzymania terminu ich zakończenia,</w:t>
      </w:r>
    </w:p>
    <w:p w14:paraId="14FC94EA" w14:textId="004B9C68" w:rsidR="00E77E3E" w:rsidRPr="00C2191D" w:rsidRDefault="00E77E3E" w:rsidP="00C2191D">
      <w:pPr>
        <w:pStyle w:val="Nagwek3"/>
      </w:pPr>
      <w:r w:rsidRPr="00C2191D">
        <w:t>dokonywanie odbiorów robót budowlanych (odbioru robó</w:t>
      </w:r>
      <w:r w:rsidR="00B17647">
        <w:t>t zanikających i </w:t>
      </w:r>
      <w:r w:rsidRPr="00C2191D">
        <w:t>ulegających zakryciu, odbioru częściowego i odbioru końcowego) potwierdzanych stosownymi zapisam</w:t>
      </w:r>
      <w:r w:rsidR="00345A0E" w:rsidRPr="00C2191D">
        <w:t>i w dzienniku budowy, zgodnie z </w:t>
      </w:r>
      <w:r w:rsidRPr="00C2191D">
        <w:t>obowiązującymi w tym zakresie przepisami prawa, normami budowlanymi oraz specyfikacjami technicznymi wykonania i odbioru robót budowlanych oraz udział w przekazaniu obiektu budowlanego do użytkowania,</w:t>
      </w:r>
    </w:p>
    <w:p w14:paraId="38E99021" w14:textId="1A54E44A" w:rsidR="00E77E3E" w:rsidRPr="00C2191D" w:rsidRDefault="00E77E3E" w:rsidP="00C2191D">
      <w:pPr>
        <w:pStyle w:val="Nagwek3"/>
      </w:pPr>
      <w:r w:rsidRPr="00C2191D">
        <w:t>uczestniczenie w próbach i odbiorach technicznych instalacji i</w:t>
      </w:r>
      <w:r w:rsidR="00B17647">
        <w:t xml:space="preserve"> </w:t>
      </w:r>
      <w:r w:rsidRPr="00C2191D">
        <w:t>urządzeń technicznych,</w:t>
      </w:r>
    </w:p>
    <w:p w14:paraId="734B0186" w14:textId="53BBF8FC" w:rsidR="00E77E3E" w:rsidRPr="00C2191D" w:rsidRDefault="00E77E3E" w:rsidP="00C2191D">
      <w:pPr>
        <w:pStyle w:val="Nagwek3"/>
      </w:pPr>
      <w:r w:rsidRPr="00C2191D">
        <w:t>dokonywanie odbiorów robót zanikają</w:t>
      </w:r>
      <w:r w:rsidR="00B17647">
        <w:t>cych i ulegających zakryciu – w </w:t>
      </w:r>
      <w:r w:rsidRPr="00C2191D">
        <w:t>terminie 3 dni roboczych od dnia zgłoszenia przez wykonawcę robót budowlanych,</w:t>
      </w:r>
    </w:p>
    <w:p w14:paraId="1F867315" w14:textId="0DE49858" w:rsidR="00E77E3E" w:rsidRPr="00C2191D" w:rsidRDefault="00E77E3E" w:rsidP="00C2191D">
      <w:pPr>
        <w:pStyle w:val="Nagwek3"/>
      </w:pPr>
      <w:r w:rsidRPr="00C2191D">
        <w:t>potwierdzanie faktycznie wy</w:t>
      </w:r>
      <w:r w:rsidR="00345A0E" w:rsidRPr="00C2191D">
        <w:t>konanych robót budowlanych oraz</w:t>
      </w:r>
      <w:r w:rsidR="00B17647">
        <w:t xml:space="preserve"> </w:t>
      </w:r>
      <w:r w:rsidRPr="00C2191D">
        <w:t>usunięcia wad,</w:t>
      </w:r>
    </w:p>
    <w:p w14:paraId="03F9BAC8" w14:textId="77777777" w:rsidR="00E77E3E" w:rsidRPr="00C2191D" w:rsidRDefault="00E77E3E" w:rsidP="00C2191D">
      <w:pPr>
        <w:pStyle w:val="Nagwek3"/>
      </w:pPr>
      <w:r w:rsidRPr="00C2191D">
        <w:t>nadzór nad należytym uporządkowaniem terenu budowy przez wykonawcę robót budowlanych,</w:t>
      </w:r>
    </w:p>
    <w:p w14:paraId="1E7F4F71" w14:textId="77777777" w:rsidR="00E77E3E" w:rsidRPr="00C2191D" w:rsidRDefault="00E77E3E" w:rsidP="00C2191D">
      <w:pPr>
        <w:pStyle w:val="Nagwek3"/>
      </w:pPr>
      <w:r w:rsidRPr="00C2191D">
        <w:t>sporządzanie protokołów konieczności – jeżeli wystąpi taka potrzeba,</w:t>
      </w:r>
    </w:p>
    <w:p w14:paraId="15177227" w14:textId="3A283A04" w:rsidR="00E77E3E" w:rsidRPr="00C2191D" w:rsidRDefault="00E77E3E" w:rsidP="00C2191D">
      <w:pPr>
        <w:pStyle w:val="Nagwek3"/>
      </w:pPr>
      <w:r w:rsidRPr="00C2191D">
        <w:t>kompletowanie i kontrola wsz</w:t>
      </w:r>
      <w:r w:rsidR="00B17647">
        <w:t>elkich dokumentów wymaganych od </w:t>
      </w:r>
      <w:r w:rsidRPr="00C2191D">
        <w:t>wykonawcy robót budowlanych, niezbędnych do odbioru,</w:t>
      </w:r>
    </w:p>
    <w:p w14:paraId="3F82FC50" w14:textId="1C9211ED" w:rsidR="00E77E3E" w:rsidRPr="00C2191D" w:rsidRDefault="00E77E3E" w:rsidP="00C2191D">
      <w:pPr>
        <w:pStyle w:val="Nagwek3"/>
      </w:pPr>
      <w:r w:rsidRPr="00C2191D">
        <w:t>nadzorowanie przestrzegania przez wykonawców robót budowlanych zasad bhp i p.poż.,</w:t>
      </w:r>
    </w:p>
    <w:p w14:paraId="1F16611B" w14:textId="77777777" w:rsidR="00E77E3E" w:rsidRPr="00C2191D" w:rsidRDefault="00E77E3E" w:rsidP="00C2191D">
      <w:pPr>
        <w:pStyle w:val="Nagwek3"/>
      </w:pPr>
      <w:r w:rsidRPr="00C2191D">
        <w:t>zawiadomienie odpowiednich organów o wypadkach naruszenia prawa budowlanego stwierdzonych w toku realizacji budowy, dotyczących bezpieczeństwa budowy,</w:t>
      </w:r>
    </w:p>
    <w:p w14:paraId="38980CB2" w14:textId="746FB9A2" w:rsidR="00E77E3E" w:rsidRPr="00C2191D" w:rsidRDefault="00E77E3E" w:rsidP="00C2191D">
      <w:pPr>
        <w:pStyle w:val="Nagwek3"/>
      </w:pPr>
      <w:r w:rsidRPr="00C2191D">
        <w:t>żądanie usunięcia z placu b</w:t>
      </w:r>
      <w:r w:rsidR="00345A0E" w:rsidRPr="00C2191D">
        <w:t>udowy osób niekompetentnych lub</w:t>
      </w:r>
      <w:r w:rsidR="00B17647">
        <w:t xml:space="preserve"> </w:t>
      </w:r>
      <w:r w:rsidRPr="00C2191D">
        <w:t xml:space="preserve">innych osób zatrudnionych przez wykonawcę robót budowlanych, które utrudniają </w:t>
      </w:r>
      <w:r w:rsidRPr="00C2191D">
        <w:lastRenderedPageBreak/>
        <w:t>realizację inwestycji lub powodują jakiekolwiek zagrożenie w trakcie realizacji inwestycji,</w:t>
      </w:r>
    </w:p>
    <w:p w14:paraId="3C2BD1DF" w14:textId="067851EC" w:rsidR="00E77E3E" w:rsidRPr="00C2191D" w:rsidRDefault="00E77E3E" w:rsidP="00C2191D">
      <w:pPr>
        <w:pStyle w:val="Nagwek3"/>
      </w:pPr>
      <w:r w:rsidRPr="00C2191D">
        <w:t>zapewnienie we własnym zakresi</w:t>
      </w:r>
      <w:r w:rsidR="00345A0E" w:rsidRPr="00C2191D">
        <w:t>e transportu w celu dotarcia na</w:t>
      </w:r>
      <w:r w:rsidR="00B17647">
        <w:t xml:space="preserve"> </w:t>
      </w:r>
      <w:r w:rsidRPr="00C2191D">
        <w:t>budowę,</w:t>
      </w:r>
    </w:p>
    <w:p w14:paraId="781F1D3E" w14:textId="2C56B7D7" w:rsidR="00E77E3E" w:rsidRPr="00C2191D" w:rsidRDefault="00E77E3E" w:rsidP="00C2191D">
      <w:pPr>
        <w:pStyle w:val="Nagwek3"/>
      </w:pPr>
      <w:r w:rsidRPr="00C2191D">
        <w:t>bycie w pełni dyspozycyjnym wobec wykonawcy robót budowlanych i</w:t>
      </w:r>
      <w:r w:rsidR="00B17647">
        <w:t> </w:t>
      </w:r>
      <w:r w:rsidRPr="00C2191D">
        <w:t>Zamawiającego – niezwłoczne stawianie się na uzasadnione wezwanie telefoniczne lub inne Zamawiającego lub wykonawcy robót budowlanych (czas reakcji zgodnie ze złożoną ofertą),</w:t>
      </w:r>
    </w:p>
    <w:p w14:paraId="5CB1CD6E" w14:textId="36FDB0FF" w:rsidR="00E77E3E" w:rsidRPr="00C2191D" w:rsidRDefault="00E77E3E" w:rsidP="00C2191D">
      <w:pPr>
        <w:pStyle w:val="Nagwek3"/>
      </w:pPr>
      <w:r w:rsidRPr="00C2191D">
        <w:t>udzielanie wszelkich niezbędnyc</w:t>
      </w:r>
      <w:r w:rsidR="00345A0E" w:rsidRPr="00C2191D">
        <w:t>h odpowiedzi, nie później niż w</w:t>
      </w:r>
      <w:r w:rsidR="006F344C">
        <w:t xml:space="preserve"> </w:t>
      </w:r>
      <w:r w:rsidRPr="00C2191D">
        <w:t>ciągu 3 dni roboczych, w trakcie realizacji robót budowlanych, pisemne zgłaszanie Zamawiającemu informacji dotyczących ewentualnych zakłóceń związanych z realizacją prac, w tym również inform</w:t>
      </w:r>
      <w:r w:rsidR="006F344C">
        <w:t>acji o wszelkich opóźnieniach w </w:t>
      </w:r>
      <w:r w:rsidRPr="00C2191D">
        <w:t>realizacji robót budowlanych z określeniem przyczyn,</w:t>
      </w:r>
    </w:p>
    <w:p w14:paraId="2C22E32F" w14:textId="77777777" w:rsidR="00E77E3E" w:rsidRPr="00C2191D" w:rsidRDefault="00E77E3E" w:rsidP="00C2191D">
      <w:pPr>
        <w:pStyle w:val="Nagwek3"/>
      </w:pPr>
      <w:r w:rsidRPr="00C2191D">
        <w:t>sprawdzanie dokumentacji powykonawczej oraz wszystkich dokumentów dostarczonych przez wykonawcę robót budowlanych pod względem ich kompletności, treści merytorycznej,</w:t>
      </w:r>
    </w:p>
    <w:p w14:paraId="51723CF8" w14:textId="6C13A5FC" w:rsidR="00E77E3E" w:rsidRPr="00C2191D" w:rsidRDefault="00E77E3E" w:rsidP="00C2191D">
      <w:pPr>
        <w:pStyle w:val="Nagwek3"/>
      </w:pPr>
      <w:r w:rsidRPr="00C2191D">
        <w:t>zapewnienie sprawowania nadzoru inwestorskiego w sposób nieprzerwany i</w:t>
      </w:r>
      <w:r w:rsidR="006F344C">
        <w:t> </w:t>
      </w:r>
      <w:r w:rsidRPr="00C2191D">
        <w:t>niezakłócony, a w przypadku niemożliwości podjęcia czynności określonych w umowie, zapewnienie uprawnionego zastępstwa,</w:t>
      </w:r>
    </w:p>
    <w:p w14:paraId="2699C718" w14:textId="5E42A8F9" w:rsidR="00E77E3E" w:rsidRPr="00C2191D" w:rsidRDefault="00E77E3E" w:rsidP="00C2191D">
      <w:pPr>
        <w:pStyle w:val="Nagwek3"/>
      </w:pPr>
      <w:r w:rsidRPr="00C2191D">
        <w:t>koordynowanie robót</w:t>
      </w:r>
      <w:r w:rsidR="001D3A53" w:rsidRPr="00C2191D">
        <w:t xml:space="preserve"> związanych z realizacją Zadań przez poszczególnych wykonawców</w:t>
      </w:r>
      <w:r w:rsidRPr="00C2191D">
        <w:t>,</w:t>
      </w:r>
    </w:p>
    <w:p w14:paraId="7477A4C1" w14:textId="77777777" w:rsidR="00E77E3E" w:rsidRPr="00C2191D" w:rsidRDefault="00E77E3E" w:rsidP="00C2191D">
      <w:pPr>
        <w:pStyle w:val="Nagwek3"/>
      </w:pPr>
      <w:r w:rsidRPr="00C2191D">
        <w:t xml:space="preserve"> weryfikacja i odbiór sporządzonej dokumentacji technicznej wraz z analizą audytu energetycznego,</w:t>
      </w:r>
    </w:p>
    <w:p w14:paraId="2CF8736E" w14:textId="1F21FE8A" w:rsidR="00E77E3E" w:rsidRPr="00C2191D" w:rsidRDefault="00E77E3E" w:rsidP="00C2191D">
      <w:pPr>
        <w:pStyle w:val="Nagwek3"/>
      </w:pPr>
      <w:r w:rsidRPr="00C2191D">
        <w:t>weryfikacja zgodności przekaz</w:t>
      </w:r>
      <w:r w:rsidR="00345A0E" w:rsidRPr="00C2191D">
        <w:t>anej dokumentacji projektowej z</w:t>
      </w:r>
      <w:r w:rsidR="006F344C">
        <w:t xml:space="preserve"> zapisami w </w:t>
      </w:r>
      <w:r w:rsidRPr="00C2191D">
        <w:t>OPZ dla danego postępowania.</w:t>
      </w:r>
    </w:p>
    <w:p w14:paraId="52710B6A" w14:textId="77777777" w:rsidR="001A0B8A" w:rsidRPr="00C2191D" w:rsidRDefault="001A0B8A" w:rsidP="006D031B">
      <w:pPr>
        <w:pStyle w:val="Bezodstpw"/>
        <w:rPr>
          <w:b/>
        </w:rPr>
      </w:pPr>
      <w:r w:rsidRPr="00C2191D">
        <w:rPr>
          <w:b/>
        </w:rPr>
        <w:t>Forma realizacji Zamówienia</w:t>
      </w:r>
    </w:p>
    <w:p w14:paraId="55CFD426" w14:textId="77777777" w:rsidR="00872947" w:rsidRPr="00411868" w:rsidRDefault="00872947" w:rsidP="00C2191D">
      <w:pPr>
        <w:pStyle w:val="Nagwek1"/>
      </w:pPr>
      <w:r w:rsidRPr="00411868">
        <w:t>Inspektor nadzoru inwestorskiego zobowiązany będzie do świadczenia usług w formie:</w:t>
      </w:r>
    </w:p>
    <w:p w14:paraId="210A8C33" w14:textId="09A111C7" w:rsidR="00872947" w:rsidRPr="00C2191D" w:rsidRDefault="00872947" w:rsidP="00C2191D">
      <w:pPr>
        <w:pStyle w:val="Nagwek2"/>
      </w:pPr>
      <w:r w:rsidRPr="00C2191D">
        <w:t>udziału w spotkaniach roboczych w trakcie realizacji zamówienia, według potrzeb Zamawiającego, w siedzibie Zamaw</w:t>
      </w:r>
      <w:r w:rsidR="00DB28BE" w:rsidRPr="00C2191D">
        <w:t>iającego lub poprzez video- lub</w:t>
      </w:r>
      <w:r w:rsidR="004E0388">
        <w:t xml:space="preserve"> </w:t>
      </w:r>
      <w:r w:rsidRPr="00C2191D">
        <w:t>telekonferencje,</w:t>
      </w:r>
    </w:p>
    <w:p w14:paraId="2CB14490" w14:textId="77777777" w:rsidR="00872947" w:rsidRPr="00C2191D" w:rsidRDefault="00872947" w:rsidP="00C2191D">
      <w:pPr>
        <w:pStyle w:val="Nagwek2"/>
      </w:pPr>
      <w:r w:rsidRPr="00C2191D">
        <w:t>udzielania konsultacji Zamawiającemu za pośrednictwem środków porozumiewania się na odległość, w dni robocze w godzinach 8:15 – 16:15, przy czym przez dzień roboczy należy rozumieć dzień od poniedziałku do piątku, z wyłączeniem dni ustawowo wolnych od pracy,</w:t>
      </w:r>
    </w:p>
    <w:p w14:paraId="27A01F75" w14:textId="77777777" w:rsidR="00872947" w:rsidRPr="00C2191D" w:rsidRDefault="00872947" w:rsidP="00C2191D">
      <w:pPr>
        <w:pStyle w:val="Nagwek2"/>
      </w:pPr>
      <w:r w:rsidRPr="00C2191D">
        <w:t>reprezentacji Z</w:t>
      </w:r>
      <w:r w:rsidR="00F461B7" w:rsidRPr="00C2191D">
        <w:t>amawiającego przed wykonawcami Z</w:t>
      </w:r>
      <w:r w:rsidRPr="00C2191D">
        <w:t>adań</w:t>
      </w:r>
      <w:r w:rsidR="00F461B7" w:rsidRPr="00C2191D">
        <w:t>,</w:t>
      </w:r>
    </w:p>
    <w:p w14:paraId="44E3887F" w14:textId="6818BDF9" w:rsidR="00F461B7" w:rsidRDefault="00F461B7" w:rsidP="00C2191D">
      <w:pPr>
        <w:pStyle w:val="Nagwek2"/>
      </w:pPr>
      <w:r w:rsidRPr="00C2191D">
        <w:t xml:space="preserve">regularnych wizyt w CEMM, zgodnie z zaistniałą potrzebą i/lub koniecznością </w:t>
      </w:r>
      <w:r w:rsidR="00FB355A">
        <w:br/>
      </w:r>
      <w:r w:rsidRPr="00C2191D">
        <w:t>oraz wymaganiami niniejszego OPZ.</w:t>
      </w:r>
    </w:p>
    <w:p w14:paraId="37F94F32" w14:textId="726002E8" w:rsidR="001D46C0" w:rsidRPr="003F1C65" w:rsidRDefault="001D46C0" w:rsidP="001D46C0">
      <w:pPr>
        <w:rPr>
          <w:b/>
          <w:u w:val="single"/>
        </w:rPr>
      </w:pPr>
    </w:p>
    <w:p w14:paraId="685C8500" w14:textId="5CA0213E" w:rsidR="001D46C0" w:rsidRPr="003F1C65" w:rsidRDefault="001D46C0" w:rsidP="001D46C0">
      <w:pPr>
        <w:rPr>
          <w:b/>
          <w:u w:val="single"/>
        </w:rPr>
      </w:pPr>
      <w:r w:rsidRPr="003F1C65">
        <w:rPr>
          <w:b/>
        </w:rPr>
        <w:t xml:space="preserve">V. </w:t>
      </w:r>
      <w:r w:rsidRPr="003F1C65">
        <w:rPr>
          <w:b/>
          <w:u w:val="single"/>
        </w:rPr>
        <w:t>Termin realizacji Zamówienia:</w:t>
      </w:r>
    </w:p>
    <w:p w14:paraId="4F0D2201" w14:textId="6590F449" w:rsidR="001D46C0" w:rsidRDefault="001D46C0" w:rsidP="001D46C0">
      <w:pPr>
        <w:pStyle w:val="Nagwek1"/>
      </w:pPr>
      <w:r>
        <w:t>Termin realizacji zamówienia zakres zamówienia będzie od dnia zawarcia umowy o</w:t>
      </w:r>
      <w:r w:rsidR="00B17647">
        <w:t> </w:t>
      </w:r>
      <w:r>
        <w:t>udzielenie zamówienia stanowiącego przedmiot postępowania</w:t>
      </w:r>
      <w:r w:rsidR="00B17647">
        <w:t xml:space="preserve"> przez okres </w:t>
      </w:r>
      <w:r w:rsidR="004F43E2">
        <w:t>8 miesięcy</w:t>
      </w:r>
      <w:r>
        <w:t>.</w:t>
      </w:r>
    </w:p>
    <w:p w14:paraId="062831DA" w14:textId="77777777" w:rsidR="001D46C0" w:rsidRPr="001D46C0" w:rsidRDefault="001D46C0" w:rsidP="001D46C0"/>
    <w:p w14:paraId="4156F34F" w14:textId="36BB3B27" w:rsidR="00E17330" w:rsidRPr="00833AF2" w:rsidRDefault="00E17330" w:rsidP="00833AF2">
      <w:pPr>
        <w:spacing w:after="160" w:line="259" w:lineRule="auto"/>
        <w:rPr>
          <w:rFonts w:eastAsia="Calibri" w:cs="Times New Roman"/>
          <w:bCs/>
          <w:szCs w:val="24"/>
        </w:rPr>
      </w:pPr>
    </w:p>
    <w:sectPr w:rsidR="00E17330" w:rsidRPr="00833A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99A2" w14:textId="77777777" w:rsidR="00F90614" w:rsidRDefault="00F90614" w:rsidP="008B5E86">
      <w:pPr>
        <w:spacing w:after="0"/>
      </w:pPr>
      <w:r>
        <w:separator/>
      </w:r>
    </w:p>
  </w:endnote>
  <w:endnote w:type="continuationSeparator" w:id="0">
    <w:p w14:paraId="2C2F7E97" w14:textId="77777777" w:rsidR="00F90614" w:rsidRDefault="00F90614" w:rsidP="008B5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8949" w14:textId="77777777" w:rsidR="00F90614" w:rsidRDefault="00F90614" w:rsidP="008B5E86">
      <w:pPr>
        <w:spacing w:after="0"/>
      </w:pPr>
      <w:r>
        <w:separator/>
      </w:r>
    </w:p>
  </w:footnote>
  <w:footnote w:type="continuationSeparator" w:id="0">
    <w:p w14:paraId="65F12594" w14:textId="77777777" w:rsidR="00F90614" w:rsidRDefault="00F90614" w:rsidP="008B5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B5E86" w14:paraId="47C86351" w14:textId="77777777" w:rsidTr="00356797">
      <w:trPr>
        <w:trHeight w:val="709"/>
        <w:jc w:val="center"/>
      </w:trPr>
      <w:tc>
        <w:tcPr>
          <w:tcW w:w="24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C52529A" w14:textId="77777777" w:rsidR="008B5E86" w:rsidRPr="007F7DE9" w:rsidRDefault="008B5E86" w:rsidP="008B5E86">
          <w:pPr>
            <w:ind w:right="131"/>
            <w:rPr>
              <w:rFonts w:eastAsia="Candara" w:cs="Candara"/>
              <w:position w:val="1"/>
              <w:sz w:val="16"/>
              <w:szCs w:val="16"/>
              <w:lang w:eastAsia="en-US"/>
            </w:rPr>
          </w:pPr>
          <w:r w:rsidRPr="007F7DE9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5FFA409" wp14:editId="3B449129">
                <wp:extent cx="1397000" cy="615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3791A6" w14:textId="77777777" w:rsidR="008B5E86" w:rsidRPr="007F7DE9" w:rsidRDefault="008B5E86" w:rsidP="008B5E86">
          <w:pPr>
            <w:ind w:right="131"/>
            <w:jc w:val="center"/>
            <w:rPr>
              <w:rFonts w:cs="Tahoma"/>
              <w:noProof/>
              <w:lang w:eastAsia="en-US"/>
            </w:rPr>
          </w:pPr>
          <w:r w:rsidRPr="007F7DE9">
            <w:rPr>
              <w:rFonts w:cs="Times New Roman"/>
              <w:noProof/>
            </w:rPr>
            <w:drawing>
              <wp:inline distT="0" distB="0" distL="0" distR="0" wp14:anchorId="5081ABF5" wp14:editId="19AEBC95">
                <wp:extent cx="1511300" cy="5016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7DB4D84" w14:textId="77777777" w:rsidR="008B5E86" w:rsidRPr="007F7DE9" w:rsidRDefault="008B5E86" w:rsidP="008B5E8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en-US"/>
            </w:rPr>
          </w:pPr>
          <w:r w:rsidRPr="007F7DE9">
            <w:rPr>
              <w:rFonts w:cs="Times New Roman"/>
              <w:noProof/>
            </w:rPr>
            <w:drawing>
              <wp:inline distT="0" distB="0" distL="0" distR="0" wp14:anchorId="5F856D27" wp14:editId="1CB966E2">
                <wp:extent cx="1574800" cy="336550"/>
                <wp:effectExtent l="0" t="0" r="6350" b="6350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339B458" w14:textId="77777777" w:rsidR="008B5E86" w:rsidRPr="007F7DE9" w:rsidRDefault="008B5E86" w:rsidP="008B5E8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en-US"/>
            </w:rPr>
          </w:pPr>
          <w:r w:rsidRPr="007F7DE9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FACAD4B" wp14:editId="6E80CAC5">
                <wp:extent cx="1536700" cy="5080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9701F9" w14:textId="77777777" w:rsidR="008B5E86" w:rsidRDefault="008B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A02"/>
    <w:multiLevelType w:val="hybridMultilevel"/>
    <w:tmpl w:val="DE9A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48"/>
    <w:multiLevelType w:val="hybridMultilevel"/>
    <w:tmpl w:val="812E1F22"/>
    <w:lvl w:ilvl="0" w:tplc="B190572A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606"/>
    <w:multiLevelType w:val="hybridMultilevel"/>
    <w:tmpl w:val="0FF46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EF0"/>
    <w:multiLevelType w:val="hybridMultilevel"/>
    <w:tmpl w:val="29AAA8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34837"/>
    <w:multiLevelType w:val="hybridMultilevel"/>
    <w:tmpl w:val="B20E53AA"/>
    <w:lvl w:ilvl="0" w:tplc="D80AB3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D12497"/>
    <w:multiLevelType w:val="hybridMultilevel"/>
    <w:tmpl w:val="2B4696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A70"/>
    <w:multiLevelType w:val="hybridMultilevel"/>
    <w:tmpl w:val="ADCE6DC4"/>
    <w:lvl w:ilvl="0" w:tplc="74B24D44">
      <w:start w:val="1"/>
      <w:numFmt w:val="decimal"/>
      <w:lvlText w:val="%1."/>
      <w:lvlJc w:val="left"/>
    </w:lvl>
    <w:lvl w:ilvl="1" w:tplc="8AB235F6">
      <w:numFmt w:val="decimal"/>
      <w:lvlText w:val=""/>
      <w:lvlJc w:val="left"/>
    </w:lvl>
    <w:lvl w:ilvl="2" w:tplc="6ADCE13E">
      <w:numFmt w:val="decimal"/>
      <w:lvlText w:val=""/>
      <w:lvlJc w:val="left"/>
    </w:lvl>
    <w:lvl w:ilvl="3" w:tplc="8E68A6EE">
      <w:numFmt w:val="decimal"/>
      <w:lvlText w:val=""/>
      <w:lvlJc w:val="left"/>
    </w:lvl>
    <w:lvl w:ilvl="4" w:tplc="8FDC4D52">
      <w:numFmt w:val="decimal"/>
      <w:lvlText w:val=""/>
      <w:lvlJc w:val="left"/>
    </w:lvl>
    <w:lvl w:ilvl="5" w:tplc="D49C06A4">
      <w:numFmt w:val="decimal"/>
      <w:lvlText w:val=""/>
      <w:lvlJc w:val="left"/>
    </w:lvl>
    <w:lvl w:ilvl="6" w:tplc="3AE8221C">
      <w:numFmt w:val="decimal"/>
      <w:lvlText w:val=""/>
      <w:lvlJc w:val="left"/>
    </w:lvl>
    <w:lvl w:ilvl="7" w:tplc="ED2EA676">
      <w:numFmt w:val="decimal"/>
      <w:lvlText w:val=""/>
      <w:lvlJc w:val="left"/>
    </w:lvl>
    <w:lvl w:ilvl="8" w:tplc="7584B95E">
      <w:numFmt w:val="decimal"/>
      <w:lvlText w:val=""/>
      <w:lvlJc w:val="left"/>
    </w:lvl>
  </w:abstractNum>
  <w:abstractNum w:abstractNumId="7" w15:restartNumberingAfterBreak="0">
    <w:nsid w:val="22CC15F9"/>
    <w:multiLevelType w:val="hybridMultilevel"/>
    <w:tmpl w:val="9D56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4132"/>
    <w:multiLevelType w:val="hybridMultilevel"/>
    <w:tmpl w:val="ADCA8DAE"/>
    <w:lvl w:ilvl="0" w:tplc="C756D3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CD61B1"/>
    <w:multiLevelType w:val="multilevel"/>
    <w:tmpl w:val="483EF66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9B0110"/>
    <w:multiLevelType w:val="hybridMultilevel"/>
    <w:tmpl w:val="BB1004C2"/>
    <w:lvl w:ilvl="0" w:tplc="EF1CA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A79"/>
    <w:multiLevelType w:val="hybridMultilevel"/>
    <w:tmpl w:val="6BB43268"/>
    <w:lvl w:ilvl="0" w:tplc="992A6C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43148"/>
    <w:multiLevelType w:val="hybridMultilevel"/>
    <w:tmpl w:val="D50832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E3CBC"/>
    <w:multiLevelType w:val="hybridMultilevel"/>
    <w:tmpl w:val="799E217E"/>
    <w:lvl w:ilvl="0" w:tplc="E53252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834E72"/>
    <w:multiLevelType w:val="hybridMultilevel"/>
    <w:tmpl w:val="7966E1D0"/>
    <w:lvl w:ilvl="0" w:tplc="EF1CA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3FF3"/>
    <w:multiLevelType w:val="hybridMultilevel"/>
    <w:tmpl w:val="6B40F48A"/>
    <w:lvl w:ilvl="0" w:tplc="166A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6A0"/>
    <w:multiLevelType w:val="hybridMultilevel"/>
    <w:tmpl w:val="F7D65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62D6"/>
    <w:multiLevelType w:val="hybridMultilevel"/>
    <w:tmpl w:val="1FC8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2FF3"/>
    <w:multiLevelType w:val="hybridMultilevel"/>
    <w:tmpl w:val="B5061B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E17"/>
    <w:multiLevelType w:val="hybridMultilevel"/>
    <w:tmpl w:val="A7F4B1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A32F5B8">
      <w:start w:val="1"/>
      <w:numFmt w:val="lowerLetter"/>
      <w:lvlText w:val="%2."/>
      <w:lvlJc w:val="left"/>
      <w:pPr>
        <w:ind w:left="1410" w:hanging="700"/>
      </w:pPr>
      <w:rPr>
        <w:rFonts w:hint="default"/>
      </w:rPr>
    </w:lvl>
    <w:lvl w:ilvl="2" w:tplc="3BA6D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26876"/>
    <w:multiLevelType w:val="hybridMultilevel"/>
    <w:tmpl w:val="F124A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7"/>
  </w:num>
  <w:num w:numId="8">
    <w:abstractNumId w:val="0"/>
  </w:num>
  <w:num w:numId="9">
    <w:abstractNumId w:val="19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20"/>
  </w:num>
  <w:num w:numId="16">
    <w:abstractNumId w:val="18"/>
  </w:num>
  <w:num w:numId="17">
    <w:abstractNumId w:val="2"/>
  </w:num>
  <w:num w:numId="18">
    <w:abstractNumId w:val="5"/>
  </w:num>
  <w:num w:numId="19">
    <w:abstractNumId w:val="9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17"/>
    <w:rsid w:val="00050E05"/>
    <w:rsid w:val="000641B7"/>
    <w:rsid w:val="00066B67"/>
    <w:rsid w:val="00084067"/>
    <w:rsid w:val="000E0EE6"/>
    <w:rsid w:val="00144F7D"/>
    <w:rsid w:val="001625C4"/>
    <w:rsid w:val="00181424"/>
    <w:rsid w:val="001832CC"/>
    <w:rsid w:val="001A0B8A"/>
    <w:rsid w:val="001D034B"/>
    <w:rsid w:val="001D13FD"/>
    <w:rsid w:val="001D3A53"/>
    <w:rsid w:val="001D46C0"/>
    <w:rsid w:val="00221C65"/>
    <w:rsid w:val="00266FDA"/>
    <w:rsid w:val="002D7BC5"/>
    <w:rsid w:val="002F4189"/>
    <w:rsid w:val="00345A0E"/>
    <w:rsid w:val="003D5856"/>
    <w:rsid w:val="003E6717"/>
    <w:rsid w:val="003F1C65"/>
    <w:rsid w:val="00411868"/>
    <w:rsid w:val="004649EC"/>
    <w:rsid w:val="004A5098"/>
    <w:rsid w:val="004B279A"/>
    <w:rsid w:val="004E0388"/>
    <w:rsid w:val="004F43E2"/>
    <w:rsid w:val="00557D3D"/>
    <w:rsid w:val="005669A4"/>
    <w:rsid w:val="006575BB"/>
    <w:rsid w:val="006915E3"/>
    <w:rsid w:val="0069477E"/>
    <w:rsid w:val="006A7865"/>
    <w:rsid w:val="006B39E2"/>
    <w:rsid w:val="006C19C8"/>
    <w:rsid w:val="006D031B"/>
    <w:rsid w:val="006D6466"/>
    <w:rsid w:val="006F344C"/>
    <w:rsid w:val="00733D1F"/>
    <w:rsid w:val="00772A2C"/>
    <w:rsid w:val="007E79E2"/>
    <w:rsid w:val="007F452D"/>
    <w:rsid w:val="00817CD2"/>
    <w:rsid w:val="00833AF2"/>
    <w:rsid w:val="00846D80"/>
    <w:rsid w:val="00854212"/>
    <w:rsid w:val="008672CF"/>
    <w:rsid w:val="00872947"/>
    <w:rsid w:val="00876934"/>
    <w:rsid w:val="00891236"/>
    <w:rsid w:val="008948F3"/>
    <w:rsid w:val="008B5E86"/>
    <w:rsid w:val="00951990"/>
    <w:rsid w:val="00A66CC9"/>
    <w:rsid w:val="00A70688"/>
    <w:rsid w:val="00A90A58"/>
    <w:rsid w:val="00A97E19"/>
    <w:rsid w:val="00AB0E44"/>
    <w:rsid w:val="00B17647"/>
    <w:rsid w:val="00B22AE5"/>
    <w:rsid w:val="00B67B95"/>
    <w:rsid w:val="00B951AE"/>
    <w:rsid w:val="00BA08CF"/>
    <w:rsid w:val="00BF235F"/>
    <w:rsid w:val="00C211F9"/>
    <w:rsid w:val="00C2191D"/>
    <w:rsid w:val="00C22660"/>
    <w:rsid w:val="00C33767"/>
    <w:rsid w:val="00C65434"/>
    <w:rsid w:val="00C73083"/>
    <w:rsid w:val="00C75363"/>
    <w:rsid w:val="00D14C1D"/>
    <w:rsid w:val="00D2175E"/>
    <w:rsid w:val="00D26690"/>
    <w:rsid w:val="00D42807"/>
    <w:rsid w:val="00DB28BE"/>
    <w:rsid w:val="00DE3771"/>
    <w:rsid w:val="00DF426B"/>
    <w:rsid w:val="00E0453C"/>
    <w:rsid w:val="00E17330"/>
    <w:rsid w:val="00E340E3"/>
    <w:rsid w:val="00E77E3E"/>
    <w:rsid w:val="00E82F01"/>
    <w:rsid w:val="00EB1485"/>
    <w:rsid w:val="00ED3B98"/>
    <w:rsid w:val="00F461B7"/>
    <w:rsid w:val="00F72EBB"/>
    <w:rsid w:val="00F90614"/>
    <w:rsid w:val="00FB355A"/>
    <w:rsid w:val="00FB5442"/>
    <w:rsid w:val="00FD315C"/>
    <w:rsid w:val="00FD4592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E11"/>
  <w15:chartTrackingRefBased/>
  <w15:docId w15:val="{EC0D3922-8CF3-4611-9E75-CFF9A3C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E86"/>
    <w:pPr>
      <w:spacing w:after="6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C2191D"/>
    <w:pPr>
      <w:numPr>
        <w:numId w:val="19"/>
      </w:numPr>
      <w:ind w:left="709" w:hanging="567"/>
      <w:outlineLvl w:val="0"/>
    </w:pPr>
    <w:rPr>
      <w:u w:val="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2191D"/>
    <w:pPr>
      <w:numPr>
        <w:ilvl w:val="1"/>
      </w:numPr>
      <w:ind w:left="993" w:hanging="633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C2191D"/>
    <w:pPr>
      <w:numPr>
        <w:ilvl w:val="2"/>
      </w:numPr>
      <w:ind w:left="1701" w:hanging="98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E8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B5E86"/>
  </w:style>
  <w:style w:type="paragraph" w:styleId="Stopka">
    <w:name w:val="footer"/>
    <w:basedOn w:val="Normalny"/>
    <w:link w:val="StopkaZnak"/>
    <w:uiPriority w:val="99"/>
    <w:unhideWhenUsed/>
    <w:rsid w:val="008B5E8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B5E86"/>
  </w:style>
  <w:style w:type="paragraph" w:styleId="Akapitzlist">
    <w:name w:val="List Paragraph"/>
    <w:basedOn w:val="Normalny"/>
    <w:uiPriority w:val="34"/>
    <w:qFormat/>
    <w:rsid w:val="008B5E86"/>
    <w:pPr>
      <w:ind w:left="720"/>
      <w:contextualSpacing/>
    </w:pPr>
  </w:style>
  <w:style w:type="character" w:customStyle="1" w:styleId="highlight">
    <w:name w:val="highlight"/>
    <w:basedOn w:val="Domylnaczcionkaakapitu"/>
    <w:rsid w:val="00876934"/>
  </w:style>
  <w:style w:type="character" w:styleId="Hipercze">
    <w:name w:val="Hyperlink"/>
    <w:basedOn w:val="Domylnaczcionkaakapitu"/>
    <w:uiPriority w:val="99"/>
    <w:semiHidden/>
    <w:unhideWhenUsed/>
    <w:rsid w:val="008769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EC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EC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EC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basedOn w:val="Akapitzlist"/>
    <w:uiPriority w:val="1"/>
    <w:qFormat/>
    <w:rsid w:val="006D031B"/>
    <w:pPr>
      <w:numPr>
        <w:numId w:val="20"/>
      </w:numPr>
      <w:tabs>
        <w:tab w:val="left" w:pos="284"/>
      </w:tabs>
      <w:spacing w:before="120"/>
      <w:jc w:val="both"/>
    </w:pPr>
    <w:rPr>
      <w:rFonts w:eastAsia="Calibri" w:cs="Times New Roman"/>
      <w:bCs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191D"/>
    <w:rPr>
      <w:rFonts w:ascii="Times New Roman" w:eastAsia="Calibri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191D"/>
    <w:rPr>
      <w:rFonts w:ascii="Times New Roman" w:eastAsia="Calibri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191D"/>
    <w:rPr>
      <w:rFonts w:ascii="Times New Roman" w:eastAsia="Calibri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2141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Borodynko-Bąbka</dc:creator>
  <cp:keywords/>
  <dc:description/>
  <cp:lastModifiedBy>Agnieszka Kubiak</cp:lastModifiedBy>
  <cp:revision>25</cp:revision>
  <dcterms:created xsi:type="dcterms:W3CDTF">2021-03-23T10:58:00Z</dcterms:created>
  <dcterms:modified xsi:type="dcterms:W3CDTF">2021-04-01T12:54:00Z</dcterms:modified>
</cp:coreProperties>
</file>