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92D0" w14:textId="0E4FC9B1" w:rsidR="00EF25F8" w:rsidRDefault="0086460D" w:rsidP="00EF25F8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EF25F8" w:rsidRDefault="00DE28B0" w:rsidP="00C76CE5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EF25F8">
        <w:rPr>
          <w:rFonts w:cs="Times New Roman"/>
          <w:sz w:val="24"/>
          <w:szCs w:val="24"/>
        </w:rPr>
        <w:t>PRZEDMIOT ZAMÓWIENIA:</w:t>
      </w:r>
    </w:p>
    <w:p w14:paraId="2B83C3A7" w14:textId="1AE525B1" w:rsidR="00E1618B" w:rsidRPr="00B00A5F" w:rsidRDefault="00DE28B0" w:rsidP="000563A9">
      <w:pPr>
        <w:pStyle w:val="Nagwek2"/>
        <w:ind w:left="426" w:hanging="426"/>
        <w:rPr>
          <w:rFonts w:cs="Times New Roman"/>
          <w:szCs w:val="24"/>
        </w:rPr>
      </w:pPr>
      <w:r w:rsidRPr="00EF25F8">
        <w:t xml:space="preserve">Przedmiotem zamówienia jest przygotowanie ekspertyzy </w:t>
      </w:r>
      <w:r w:rsidR="000563A9">
        <w:t>dotyczącej</w:t>
      </w:r>
      <w:r w:rsidR="003874BB" w:rsidRPr="003874BB">
        <w:t xml:space="preserve"> określenia katalogu funkcji i osiągów wybranych części pojazdów kolejowych na potrzeby zarządzania konfiguracją pojazdów kolejowych</w:t>
      </w:r>
      <w:r w:rsidR="000563A9" w:rsidRPr="000563A9">
        <w:t xml:space="preserve"> w zakresie wymiany w ramach utrzymania, zgodnie </w:t>
      </w:r>
      <w:r w:rsidR="00D5534F">
        <w:br/>
      </w:r>
      <w:r w:rsidR="000563A9" w:rsidRPr="000563A9">
        <w:t>z definicją zawartą w dyrektywie 2016/797</w:t>
      </w:r>
      <w:r w:rsidR="00E67A21">
        <w:rPr>
          <w:rStyle w:val="Odwoanieprzypisudolnego"/>
        </w:rPr>
        <w:footnoteReference w:id="1"/>
      </w:r>
      <w:r w:rsidR="00E67A21">
        <w:t>.</w:t>
      </w:r>
    </w:p>
    <w:p w14:paraId="7ADA4A2D" w14:textId="747499CD" w:rsidR="00457542" w:rsidRPr="00EF25F8" w:rsidRDefault="00E31851" w:rsidP="00274495">
      <w:pPr>
        <w:pStyle w:val="Nagwek1"/>
        <w:spacing w:before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WYMAGANIA OGÓLNE</w:t>
      </w:r>
      <w:r w:rsidR="00DE28B0" w:rsidRPr="00EF25F8">
        <w:rPr>
          <w:rFonts w:cs="Times New Roman"/>
          <w:sz w:val="24"/>
          <w:szCs w:val="24"/>
        </w:rPr>
        <w:t>:</w:t>
      </w:r>
    </w:p>
    <w:p w14:paraId="5B9DD0D2" w14:textId="12567A56" w:rsidR="00644006" w:rsidRDefault="007415B0" w:rsidP="004C0FF9">
      <w:pPr>
        <w:pStyle w:val="Nagwek2"/>
        <w:ind w:left="426" w:hanging="426"/>
      </w:pPr>
      <w:r>
        <w:t>Wykonawca powinien dokonać</w:t>
      </w:r>
      <w:r w:rsidR="00183671">
        <w:t xml:space="preserve"> </w:t>
      </w:r>
      <w:r>
        <w:t>analizy</w:t>
      </w:r>
      <w:r w:rsidR="004C0FF9" w:rsidRPr="004C0FF9">
        <w:t xml:space="preserve"> </w:t>
      </w:r>
      <w:r w:rsidR="004C0FF9">
        <w:t xml:space="preserve">technicznej elementów pojazdów kolejowych takich jak: </w:t>
      </w:r>
      <w:r w:rsidR="004C0FF9" w:rsidRPr="004C0FF9">
        <w:t>ko</w:t>
      </w:r>
      <w:r w:rsidR="00535F8C">
        <w:t>ł</w:t>
      </w:r>
      <w:r w:rsidR="004C0FF9" w:rsidRPr="004C0FF9">
        <w:t>a, osie,</w:t>
      </w:r>
      <w:r w:rsidR="00776052">
        <w:t xml:space="preserve"> tarcze hamulcowe, inne</w:t>
      </w:r>
      <w:r w:rsidR="004C0FF9" w:rsidRPr="004C0FF9">
        <w:t xml:space="preserve"> elementy układów hamulcowych</w:t>
      </w:r>
      <w:r w:rsidR="00776052">
        <w:t>, pantografy, sprzęgi, akumulatory,</w:t>
      </w:r>
      <w:r w:rsidR="004C0FF9">
        <w:t xml:space="preserve"> pod względem </w:t>
      </w:r>
      <w:r w:rsidR="00DD2A68">
        <w:t>identyfikacji funkcji i osiągów</w:t>
      </w:r>
      <w:bookmarkStart w:id="0" w:name="_GoBack"/>
      <w:bookmarkEnd w:id="0"/>
      <w:r w:rsidR="00DD2A68">
        <w:t xml:space="preserve"> tych elementów</w:t>
      </w:r>
      <w:r w:rsidR="00D63618">
        <w:rPr>
          <w:rFonts w:cs="Times New Roman"/>
          <w:szCs w:val="24"/>
        </w:rPr>
        <w:t>.</w:t>
      </w:r>
    </w:p>
    <w:p w14:paraId="093F1C0D" w14:textId="31FEA8C9" w:rsidR="00756D48" w:rsidRDefault="00C11953" w:rsidP="00090DDA">
      <w:pPr>
        <w:pStyle w:val="Nagwek2"/>
        <w:ind w:left="426" w:hanging="426"/>
      </w:pPr>
      <w:r w:rsidRPr="00C11953">
        <w:t>Zakres ekspertyzy ma obejmować</w:t>
      </w:r>
      <w:r w:rsidR="00DD2A68">
        <w:t xml:space="preserve"> wytyczne </w:t>
      </w:r>
      <w:r w:rsidR="00090DDA">
        <w:t>dotyczące identyfikacji</w:t>
      </w:r>
      <w:r w:rsidR="00DD2A68">
        <w:t xml:space="preserve"> funkcji i osiągów </w:t>
      </w:r>
      <w:r w:rsidR="00090DDA">
        <w:t xml:space="preserve">dla różnych elementów pojazdów kolejowych oraz zdefiniowanie </w:t>
      </w:r>
      <w:r w:rsidR="00911C45">
        <w:t xml:space="preserve">odrębnie pojęcia </w:t>
      </w:r>
      <w:r w:rsidR="00090DDA">
        <w:t xml:space="preserve">funkcji oraz </w:t>
      </w:r>
      <w:r w:rsidR="00911C45">
        <w:t xml:space="preserve">pojęcia </w:t>
      </w:r>
      <w:r w:rsidR="00090DDA">
        <w:t>osiąg</w:t>
      </w:r>
      <w:r w:rsidR="00911C45">
        <w:t>i z punktu widzenia definicji wymiany w ramach utrzymania.</w:t>
      </w:r>
      <w:r w:rsidR="00090DDA">
        <w:t xml:space="preserve"> </w:t>
      </w:r>
    </w:p>
    <w:p w14:paraId="7661DEAB" w14:textId="394766F0" w:rsidR="00090DDA" w:rsidRPr="00DD2A68" w:rsidRDefault="00090DDA" w:rsidP="00090DDA">
      <w:pPr>
        <w:pStyle w:val="Nagwek2"/>
        <w:ind w:left="426" w:hanging="426"/>
      </w:pPr>
      <w:r>
        <w:rPr>
          <w:rFonts w:cs="Times New Roman"/>
          <w:szCs w:val="24"/>
        </w:rPr>
        <w:t>Ekspertyza ma określać katalog funkcji i osiągów dla każdego z podanych w pkt 2.1 elementów pojazdów kolejowych.</w:t>
      </w:r>
    </w:p>
    <w:p w14:paraId="7D7F15F6" w14:textId="0DD2BFB1" w:rsidR="007415B0" w:rsidRPr="007415B0" w:rsidRDefault="007415B0" w:rsidP="007415B0">
      <w:pPr>
        <w:pStyle w:val="Nagwek2"/>
        <w:ind w:left="426" w:hanging="426"/>
        <w:rPr>
          <w:rFonts w:cs="Times New Roman"/>
          <w:szCs w:val="24"/>
        </w:rPr>
      </w:pPr>
      <w:r w:rsidRPr="005D651B">
        <w:rPr>
          <w:rFonts w:cs="Times New Roman"/>
          <w:szCs w:val="24"/>
        </w:rPr>
        <w:t>W trakcie opracowywania ekspertyz Wykonawca będzie na bieżąco współpracował</w:t>
      </w:r>
      <w:r>
        <w:rPr>
          <w:rFonts w:cs="Times New Roman"/>
          <w:szCs w:val="24"/>
        </w:rPr>
        <w:br/>
      </w:r>
      <w:r w:rsidRPr="005D651B">
        <w:rPr>
          <w:rFonts w:cs="Times New Roman"/>
          <w:szCs w:val="24"/>
        </w:rPr>
        <w:t>z Zamawiającym w formie bezpośrednich spotkań, kontaktów telefonicznych lub kontaktów e-mailowych.</w:t>
      </w:r>
    </w:p>
    <w:p w14:paraId="1390479A" w14:textId="4C7C2CF9" w:rsidR="006E4FE9" w:rsidRPr="00A441E1" w:rsidRDefault="006E4FE9" w:rsidP="00A441E1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t>W wyznaczonym terminie Wykonawca przekaże proponowaną wersję ekspertyzy, która zostanie przeanalizowana przez Zamawiającego.</w:t>
      </w:r>
    </w:p>
    <w:p w14:paraId="54D6BAF1" w14:textId="76E07509" w:rsidR="00457542" w:rsidRPr="00EF25F8" w:rsidRDefault="00DE28B0" w:rsidP="00C76CE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Dokument należy dostarczyć w wersji papierowej z pod</w:t>
      </w:r>
      <w:r w:rsidR="000F49A5" w:rsidRPr="00EF25F8">
        <w:rPr>
          <w:rFonts w:cs="Times New Roman"/>
          <w:szCs w:val="24"/>
        </w:rPr>
        <w:t>pisami autorów</w:t>
      </w:r>
      <w:r w:rsidR="009903F2">
        <w:rPr>
          <w:rFonts w:cs="Times New Roman"/>
          <w:szCs w:val="24"/>
        </w:rPr>
        <w:t xml:space="preserve"> oraz w wersji</w:t>
      </w:r>
      <w:r w:rsidR="000F49A5" w:rsidRPr="00EF25F8">
        <w:rPr>
          <w:rFonts w:cs="Times New Roman"/>
          <w:szCs w:val="24"/>
        </w:rPr>
        <w:t xml:space="preserve">, elektronicznej </w:t>
      </w:r>
      <w:r w:rsidR="001970AC">
        <w:rPr>
          <w:rFonts w:cs="Times New Roman"/>
          <w:szCs w:val="24"/>
        </w:rPr>
        <w:t>(</w:t>
      </w:r>
      <w:r w:rsidR="0086460D">
        <w:rPr>
          <w:rFonts w:cs="Times New Roman"/>
          <w:szCs w:val="24"/>
        </w:rPr>
        <w:t>w </w:t>
      </w:r>
      <w:r w:rsidRPr="00EF25F8">
        <w:rPr>
          <w:rFonts w:cs="Times New Roman"/>
          <w:szCs w:val="24"/>
        </w:rPr>
        <w:t xml:space="preserve">formacie </w:t>
      </w:r>
      <w:r w:rsidR="00A441E1">
        <w:rPr>
          <w:rFonts w:cs="Times New Roman"/>
          <w:szCs w:val="24"/>
        </w:rPr>
        <w:t xml:space="preserve">.pdf </w:t>
      </w:r>
      <w:r w:rsidRPr="00EF25F8">
        <w:rPr>
          <w:rFonts w:cs="Times New Roman"/>
          <w:szCs w:val="24"/>
        </w:rPr>
        <w:t>i edytowalnym formacie</w:t>
      </w:r>
      <w:r w:rsidR="001970AC">
        <w:rPr>
          <w:rFonts w:cs="Times New Roman"/>
          <w:szCs w:val="24"/>
        </w:rPr>
        <w:t>)</w:t>
      </w:r>
      <w:r w:rsidRPr="00EF25F8">
        <w:rPr>
          <w:rFonts w:cs="Times New Roman"/>
          <w:szCs w:val="24"/>
        </w:rPr>
        <w:t xml:space="preserve"> na nośniku elektronicznym.</w:t>
      </w:r>
    </w:p>
    <w:p w14:paraId="41AFD4B9" w14:textId="19DA57AE" w:rsidR="00EF25F8" w:rsidRPr="0086460D" w:rsidRDefault="00DE28B0" w:rsidP="00C76CE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Wszelkie prawa majątkowe do wykonanych </w:t>
      </w:r>
      <w:r w:rsidR="00BB14F9" w:rsidRPr="00EF25F8">
        <w:rPr>
          <w:rFonts w:cs="Times New Roman"/>
          <w:szCs w:val="24"/>
        </w:rPr>
        <w:t xml:space="preserve">opracowań zostaną przeniesione </w:t>
      </w:r>
      <w:r w:rsidR="0086460D">
        <w:rPr>
          <w:rFonts w:cs="Times New Roman"/>
          <w:szCs w:val="24"/>
        </w:rPr>
        <w:t>na </w:t>
      </w:r>
      <w:r w:rsidRPr="00EF25F8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EF25F8">
        <w:rPr>
          <w:rFonts w:cs="Times New Roman"/>
          <w:szCs w:val="24"/>
        </w:rPr>
        <w:t>objętych przedmiotem zamówienia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i przeniesie te prawa na Zamawiającego z chwilą odebrania przedmio</w:t>
      </w:r>
      <w:r w:rsidR="00BB14F9" w:rsidRPr="00EF25F8">
        <w:rPr>
          <w:rFonts w:cs="Times New Roman"/>
          <w:szCs w:val="24"/>
        </w:rPr>
        <w:t>tu zamówienia.</w:t>
      </w:r>
    </w:p>
    <w:sectPr w:rsidR="00EF25F8" w:rsidRPr="0086460D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3A121" w16cid:durableId="21F905C5"/>
  <w16cid:commentId w16cid:paraId="1B74E6A8" w16cid:durableId="21F905C6"/>
  <w16cid:commentId w16cid:paraId="496BCE28" w16cid:durableId="21F905C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D6472" w14:textId="77777777" w:rsidR="0027425F" w:rsidRDefault="0027425F">
      <w:r>
        <w:separator/>
      </w:r>
    </w:p>
  </w:endnote>
  <w:endnote w:type="continuationSeparator" w:id="0">
    <w:p w14:paraId="7DDFF4B6" w14:textId="77777777" w:rsidR="0027425F" w:rsidRDefault="00274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27425F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023796E8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67A21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E67A21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27425F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7A4D7A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318C1F03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7605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76052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27425F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7A4D7A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377F8" w14:textId="77777777" w:rsidR="0027425F" w:rsidRDefault="0027425F">
      <w:r>
        <w:separator/>
      </w:r>
    </w:p>
  </w:footnote>
  <w:footnote w:type="continuationSeparator" w:id="0">
    <w:p w14:paraId="6737C1C9" w14:textId="77777777" w:rsidR="0027425F" w:rsidRDefault="0027425F">
      <w:r>
        <w:continuationSeparator/>
      </w:r>
    </w:p>
  </w:footnote>
  <w:footnote w:id="1">
    <w:p w14:paraId="517CB5AF" w14:textId="71DF3445" w:rsidR="00E67A21" w:rsidRDefault="00E67A21" w:rsidP="004C0F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 Art. 2 pkt 17 dyrektywy Parlamentu Europejskiego i Rady (UE) 2016/797 z dnia 11 maja 2016 r. </w:t>
      </w:r>
      <w:r w:rsidR="004C0FF9">
        <w:br/>
      </w:r>
      <w:r>
        <w:t xml:space="preserve">w sprawie interoperacyjności systemu kolei w Unii Europejskiej (Dz. Urz. UE L 138 z 26 maja 2016 r., </w:t>
      </w:r>
      <w:r w:rsidR="00D5534F">
        <w:br/>
      </w:r>
      <w:r>
        <w:t xml:space="preserve">str. 44,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7033A4A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5C9F19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6262A4A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25F8" w14:paraId="10584BF9" w14:textId="77777777" w:rsidTr="005F7696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D024B4F" w14:textId="77777777" w:rsidR="00EF25F8" w:rsidRDefault="00EF25F8" w:rsidP="00EF25F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6674076" wp14:editId="6220C0C3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C0FFC5A" w14:textId="77777777" w:rsidR="00EF25F8" w:rsidRDefault="00EF25F8" w:rsidP="00EF25F8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1D8FE723" wp14:editId="34A2EB94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C50DCB1" w14:textId="77777777" w:rsidR="00EF25F8" w:rsidRDefault="00EF25F8" w:rsidP="00EF25F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3459A4" wp14:editId="185FD05B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2F3D87" w14:textId="77777777" w:rsidR="00EF25F8" w:rsidRDefault="00EF25F8" w:rsidP="00EF25F8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EC8FC7D" wp14:editId="6F8B218C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9EA64" w14:textId="77777777" w:rsidR="00457542" w:rsidRPr="005A1E62" w:rsidRDefault="00457542" w:rsidP="00EF2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55C04"/>
    <w:multiLevelType w:val="multilevel"/>
    <w:tmpl w:val="E086338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006CA"/>
    <w:rsid w:val="0001062C"/>
    <w:rsid w:val="00010B6E"/>
    <w:rsid w:val="00012B6E"/>
    <w:rsid w:val="00022308"/>
    <w:rsid w:val="00043663"/>
    <w:rsid w:val="000563A9"/>
    <w:rsid w:val="00084460"/>
    <w:rsid w:val="00090DDA"/>
    <w:rsid w:val="000B4135"/>
    <w:rsid w:val="000B423E"/>
    <w:rsid w:val="000B5582"/>
    <w:rsid w:val="000D05CB"/>
    <w:rsid w:val="000E64C1"/>
    <w:rsid w:val="000F49A5"/>
    <w:rsid w:val="00106523"/>
    <w:rsid w:val="00126DE2"/>
    <w:rsid w:val="00134FEC"/>
    <w:rsid w:val="00155C14"/>
    <w:rsid w:val="00166FB9"/>
    <w:rsid w:val="00174DFD"/>
    <w:rsid w:val="00175A2B"/>
    <w:rsid w:val="00183671"/>
    <w:rsid w:val="001935DD"/>
    <w:rsid w:val="001970AC"/>
    <w:rsid w:val="001B0E5E"/>
    <w:rsid w:val="001F4181"/>
    <w:rsid w:val="002048DE"/>
    <w:rsid w:val="00206591"/>
    <w:rsid w:val="00207B52"/>
    <w:rsid w:val="002104FB"/>
    <w:rsid w:val="002551A7"/>
    <w:rsid w:val="002562CA"/>
    <w:rsid w:val="002619F0"/>
    <w:rsid w:val="00272656"/>
    <w:rsid w:val="0027425F"/>
    <w:rsid w:val="00274495"/>
    <w:rsid w:val="00283F8E"/>
    <w:rsid w:val="00286D8C"/>
    <w:rsid w:val="00296F22"/>
    <w:rsid w:val="002A3471"/>
    <w:rsid w:val="002B724D"/>
    <w:rsid w:val="002F3A71"/>
    <w:rsid w:val="003003D5"/>
    <w:rsid w:val="00302121"/>
    <w:rsid w:val="00304B10"/>
    <w:rsid w:val="00317E42"/>
    <w:rsid w:val="0035298C"/>
    <w:rsid w:val="00373FA4"/>
    <w:rsid w:val="003822DB"/>
    <w:rsid w:val="003874BB"/>
    <w:rsid w:val="003A35BA"/>
    <w:rsid w:val="003A4F3D"/>
    <w:rsid w:val="003B18B2"/>
    <w:rsid w:val="003B3F48"/>
    <w:rsid w:val="003B439E"/>
    <w:rsid w:val="003C0207"/>
    <w:rsid w:val="003C044A"/>
    <w:rsid w:val="003E4CB4"/>
    <w:rsid w:val="003E646A"/>
    <w:rsid w:val="00413CD6"/>
    <w:rsid w:val="00420BC7"/>
    <w:rsid w:val="00426243"/>
    <w:rsid w:val="004352AE"/>
    <w:rsid w:val="00443E03"/>
    <w:rsid w:val="004534E5"/>
    <w:rsid w:val="00457542"/>
    <w:rsid w:val="00472728"/>
    <w:rsid w:val="00493E6B"/>
    <w:rsid w:val="004A67E9"/>
    <w:rsid w:val="004B0CF5"/>
    <w:rsid w:val="004B7A03"/>
    <w:rsid w:val="004C0FF9"/>
    <w:rsid w:val="004E0712"/>
    <w:rsid w:val="004E1D26"/>
    <w:rsid w:val="0051239C"/>
    <w:rsid w:val="005250EC"/>
    <w:rsid w:val="00525CE3"/>
    <w:rsid w:val="00535F8C"/>
    <w:rsid w:val="00537ECE"/>
    <w:rsid w:val="00542AB8"/>
    <w:rsid w:val="00562708"/>
    <w:rsid w:val="0056351D"/>
    <w:rsid w:val="00566AA2"/>
    <w:rsid w:val="0058340C"/>
    <w:rsid w:val="00591909"/>
    <w:rsid w:val="005931EE"/>
    <w:rsid w:val="00596823"/>
    <w:rsid w:val="005A2A42"/>
    <w:rsid w:val="005C10AE"/>
    <w:rsid w:val="005D473F"/>
    <w:rsid w:val="005D651B"/>
    <w:rsid w:val="005F4429"/>
    <w:rsid w:val="005F7DF6"/>
    <w:rsid w:val="00601952"/>
    <w:rsid w:val="00623A92"/>
    <w:rsid w:val="00627E0D"/>
    <w:rsid w:val="00633ED7"/>
    <w:rsid w:val="00635CF2"/>
    <w:rsid w:val="00644006"/>
    <w:rsid w:val="00645B3D"/>
    <w:rsid w:val="006639F4"/>
    <w:rsid w:val="006857E7"/>
    <w:rsid w:val="00690CA1"/>
    <w:rsid w:val="006C3146"/>
    <w:rsid w:val="006D7559"/>
    <w:rsid w:val="006E2595"/>
    <w:rsid w:val="006E4FE9"/>
    <w:rsid w:val="006F4FFD"/>
    <w:rsid w:val="00700439"/>
    <w:rsid w:val="0072433B"/>
    <w:rsid w:val="007415B0"/>
    <w:rsid w:val="0074555E"/>
    <w:rsid w:val="00752737"/>
    <w:rsid w:val="00756D48"/>
    <w:rsid w:val="00761964"/>
    <w:rsid w:val="00767FAE"/>
    <w:rsid w:val="00774C58"/>
    <w:rsid w:val="00776052"/>
    <w:rsid w:val="00782FFB"/>
    <w:rsid w:val="007A1C5A"/>
    <w:rsid w:val="007A3614"/>
    <w:rsid w:val="007A4D7A"/>
    <w:rsid w:val="007D3547"/>
    <w:rsid w:val="007D7894"/>
    <w:rsid w:val="0080049D"/>
    <w:rsid w:val="00820A72"/>
    <w:rsid w:val="008354D4"/>
    <w:rsid w:val="008413BA"/>
    <w:rsid w:val="00841F42"/>
    <w:rsid w:val="0085266C"/>
    <w:rsid w:val="00856BEF"/>
    <w:rsid w:val="0086460D"/>
    <w:rsid w:val="00865863"/>
    <w:rsid w:val="00891EED"/>
    <w:rsid w:val="008E32B1"/>
    <w:rsid w:val="008E3D10"/>
    <w:rsid w:val="00910BC2"/>
    <w:rsid w:val="009111B2"/>
    <w:rsid w:val="00911C45"/>
    <w:rsid w:val="00921E12"/>
    <w:rsid w:val="00925E5C"/>
    <w:rsid w:val="009275D3"/>
    <w:rsid w:val="0093092D"/>
    <w:rsid w:val="00931A85"/>
    <w:rsid w:val="00940121"/>
    <w:rsid w:val="0094609D"/>
    <w:rsid w:val="009525E9"/>
    <w:rsid w:val="009563D3"/>
    <w:rsid w:val="00965C1D"/>
    <w:rsid w:val="00975749"/>
    <w:rsid w:val="00977AD1"/>
    <w:rsid w:val="009903F2"/>
    <w:rsid w:val="009932DB"/>
    <w:rsid w:val="009A542D"/>
    <w:rsid w:val="009B405F"/>
    <w:rsid w:val="009D43E5"/>
    <w:rsid w:val="00A3134E"/>
    <w:rsid w:val="00A41E6A"/>
    <w:rsid w:val="00A441E1"/>
    <w:rsid w:val="00A46820"/>
    <w:rsid w:val="00A641B9"/>
    <w:rsid w:val="00A67C28"/>
    <w:rsid w:val="00A77125"/>
    <w:rsid w:val="00A976DC"/>
    <w:rsid w:val="00AB225D"/>
    <w:rsid w:val="00AB696B"/>
    <w:rsid w:val="00AC7922"/>
    <w:rsid w:val="00B001B5"/>
    <w:rsid w:val="00B00A5F"/>
    <w:rsid w:val="00B05006"/>
    <w:rsid w:val="00B13F0B"/>
    <w:rsid w:val="00B41174"/>
    <w:rsid w:val="00B46183"/>
    <w:rsid w:val="00B50F29"/>
    <w:rsid w:val="00B55793"/>
    <w:rsid w:val="00B57695"/>
    <w:rsid w:val="00B7377A"/>
    <w:rsid w:val="00B81FE9"/>
    <w:rsid w:val="00B93D10"/>
    <w:rsid w:val="00BB14F9"/>
    <w:rsid w:val="00BE49AA"/>
    <w:rsid w:val="00BF0FD4"/>
    <w:rsid w:val="00C11953"/>
    <w:rsid w:val="00C26939"/>
    <w:rsid w:val="00C308C6"/>
    <w:rsid w:val="00C30FCE"/>
    <w:rsid w:val="00C619DC"/>
    <w:rsid w:val="00C75492"/>
    <w:rsid w:val="00C76CE5"/>
    <w:rsid w:val="00C87549"/>
    <w:rsid w:val="00C964E6"/>
    <w:rsid w:val="00CA022E"/>
    <w:rsid w:val="00CC54D9"/>
    <w:rsid w:val="00CD7FD8"/>
    <w:rsid w:val="00CF42D7"/>
    <w:rsid w:val="00D07AAA"/>
    <w:rsid w:val="00D13992"/>
    <w:rsid w:val="00D309B6"/>
    <w:rsid w:val="00D50DF4"/>
    <w:rsid w:val="00D52C60"/>
    <w:rsid w:val="00D5534F"/>
    <w:rsid w:val="00D63618"/>
    <w:rsid w:val="00D66DF3"/>
    <w:rsid w:val="00D81437"/>
    <w:rsid w:val="00DA5054"/>
    <w:rsid w:val="00DC2323"/>
    <w:rsid w:val="00DC560D"/>
    <w:rsid w:val="00DD2A68"/>
    <w:rsid w:val="00DD3005"/>
    <w:rsid w:val="00DE28B0"/>
    <w:rsid w:val="00DE5121"/>
    <w:rsid w:val="00E1618B"/>
    <w:rsid w:val="00E2073D"/>
    <w:rsid w:val="00E2110B"/>
    <w:rsid w:val="00E31851"/>
    <w:rsid w:val="00E3438F"/>
    <w:rsid w:val="00E45F14"/>
    <w:rsid w:val="00E60684"/>
    <w:rsid w:val="00E67A21"/>
    <w:rsid w:val="00E73D80"/>
    <w:rsid w:val="00EA2A99"/>
    <w:rsid w:val="00EC36C4"/>
    <w:rsid w:val="00EE24C9"/>
    <w:rsid w:val="00EF1D57"/>
    <w:rsid w:val="00EF25F8"/>
    <w:rsid w:val="00EF274C"/>
    <w:rsid w:val="00F0493F"/>
    <w:rsid w:val="00F16432"/>
    <w:rsid w:val="00F21048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  <w15:docId w15:val="{B6B6518D-77EA-4863-BFEA-64014821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0219A4-01A6-4F50-B172-8760A5ED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96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Agnieszka Zaczek</cp:lastModifiedBy>
  <cp:revision>6</cp:revision>
  <cp:lastPrinted>2017-01-12T08:53:00Z</cp:lastPrinted>
  <dcterms:created xsi:type="dcterms:W3CDTF">2021-01-28T11:35:00Z</dcterms:created>
  <dcterms:modified xsi:type="dcterms:W3CDTF">2021-02-02T13:02:00Z</dcterms:modified>
</cp:coreProperties>
</file>