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36" w:rsidRPr="006B07DE" w:rsidRDefault="006B07DE">
      <w:pPr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>Lista dodatkowych pytań:</w:t>
      </w:r>
    </w:p>
    <w:p w:rsidR="006B07DE" w:rsidRPr="006B07DE" w:rsidRDefault="006B07DE" w:rsidP="006B07D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>W lokalizacji Zamawiający planuje wykonanie profesjonalnej bezpiecznej komory serwerowni do obsługi m.in. systemu egzaminowania i monitorowania maszynistów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07DE">
        <w:rPr>
          <w:rFonts w:ascii="Times New Roman" w:hAnsi="Times New Roman" w:cs="Times New Roman"/>
          <w:sz w:val="24"/>
          <w:szCs w:val="24"/>
        </w:rPr>
        <w:t xml:space="preserve">(z systemem chłodzenia, gaszenia gazem, zasilaniem awaryjnym itp.). 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Ile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42U wymagane jest do zapewnienia działania jednego, dwóch </w:t>
      </w:r>
      <w:r w:rsidRPr="006B07DE">
        <w:rPr>
          <w:rFonts w:ascii="Times New Roman" w:hAnsi="Times New Roman" w:cs="Times New Roman"/>
          <w:sz w:val="24"/>
          <w:szCs w:val="24"/>
        </w:rPr>
        <w:br/>
        <w:t xml:space="preserve">i trzech symulatorów? 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Proszę o rozpisanie poszczególnych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– jakie urządzenia są w nich zainstalowane i ile jednostek U zajmują?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Ile energii cieplnej generują szafy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rackowe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wykorzystywane do obsługi jednego symulatora? Jakie jest ich zapotrzebowanie na chłód?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Jakie moce są zainstalowane w poszczególnych szafach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(zużycie energii elektrycznej przez szafy (nie symulator)?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Jakie jest wymagane środowisko pracy poszczególnych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W jaki sposób wykonawca rekomenduje lub nie i dlaczego zainstalowanie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>, które obsługują symulatory w dedykowanym pomieszczeniu serwerowni (czy w dedykowanej komorze czy też w hali ogólnej bez wyodrębnienia specjalnego pomieszczenia)?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W przypadku gdy, wykonawca nie rekomenduje zamieszczenia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B07DE">
        <w:rPr>
          <w:rFonts w:ascii="Times New Roman" w:hAnsi="Times New Roman" w:cs="Times New Roman"/>
          <w:sz w:val="24"/>
          <w:szCs w:val="24"/>
        </w:rPr>
        <w:t>w serwerowni a także bezpośrednio w hali to jakie pomieszczenie powinno być zarezerwowane na takie szafy?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Jakie jest zapotrzebowanie na moc przyłączeniową nominalną i szczytową dla każdego z symulatorów a także dla każdej z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>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>Jak wygląda kwestia mocy biernej pojemnościowej produkowanych przez Państwa symulatorów? Jakie wartości generowane są w związku z eksploatacją symulatora? Czy wykonawca standardowo zapewnia kompensacje mocy biernej pojemnościowej? Jakie proponowane są przez wykonawcę rozwiązania zmniejszające koszty opłat za moc bierną pojemnościową?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Jaka może być maksymalna odległość od szaf </w:t>
      </w:r>
      <w:proofErr w:type="spellStart"/>
      <w:r w:rsidRPr="006B07DE">
        <w:rPr>
          <w:rFonts w:ascii="Times New Roman" w:hAnsi="Times New Roman" w:cs="Times New Roman"/>
          <w:sz w:val="24"/>
          <w:szCs w:val="24"/>
        </w:rPr>
        <w:t>rackowych</w:t>
      </w:r>
      <w:proofErr w:type="spellEnd"/>
      <w:r w:rsidRPr="006B07DE">
        <w:rPr>
          <w:rFonts w:ascii="Times New Roman" w:hAnsi="Times New Roman" w:cs="Times New Roman"/>
          <w:sz w:val="24"/>
          <w:szCs w:val="24"/>
        </w:rPr>
        <w:t xml:space="preserve"> do kabiny symulatora? (długość kanału kablowego od szafy do symulatora).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>Czy w ocenie wykonawcy istnieją gotowe rozwiązania symulatorów na rynku spełniające wszystkie wymagania UTK, które nie wymagają dostosowania do szczególnych potrzeb UTK wynikających z udostępnionego opisu przedmiotu zamówienia?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Czy według Wykonawcy opis przedmiotu zamówienia udostępniony wraz </w:t>
      </w:r>
      <w:r w:rsidRPr="006B07DE">
        <w:rPr>
          <w:rFonts w:ascii="Times New Roman" w:hAnsi="Times New Roman" w:cs="Times New Roman"/>
          <w:sz w:val="24"/>
          <w:szCs w:val="24"/>
        </w:rPr>
        <w:br/>
        <w:t xml:space="preserve">z Informacją o zamiarze przeprowadzenia dialogu po jego uzupełnieniu o ww. elementy adaptacji hali (projekt koncepcji architektonicznej) jest na tyle precyzyjny i jednoznaczny, że nie budzi wątpliwości i pozwoli wykonawcy złożyć ofertę w przetargu nieograniczonym? 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>Czy ewentualne wątpliwości do opisu przedmiotu zamówienia mogą być skorygowane na etapie publikacji specyfikacji istotnych warunków zamówienia lub podczas realizacji umowy w ramach przewidzianych w umowie dopuszczalnych zmian?</w:t>
      </w:r>
    </w:p>
    <w:p w:rsidR="006B07DE" w:rsidRPr="006B07DE" w:rsidRDefault="006B07DE" w:rsidP="006B07D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DE">
        <w:rPr>
          <w:rFonts w:ascii="Times New Roman" w:hAnsi="Times New Roman" w:cs="Times New Roman"/>
          <w:sz w:val="24"/>
          <w:szCs w:val="24"/>
        </w:rPr>
        <w:t xml:space="preserve">Czy udostępniony opis przedmiotu zamówienia jest na tyle niejednoznaczny, że przeprowadzenie postępowania w innym trybie (np. dialogu konkurencyjnego) pozwoli </w:t>
      </w:r>
      <w:r w:rsidRPr="006B07DE">
        <w:rPr>
          <w:rFonts w:ascii="Times New Roman" w:hAnsi="Times New Roman" w:cs="Times New Roman"/>
          <w:sz w:val="24"/>
          <w:szCs w:val="24"/>
        </w:rPr>
        <w:lastRenderedPageBreak/>
        <w:t xml:space="preserve">na jego doprecyzowanie? Proszę wskazać, w miarę posiadanego doświadczenia, korzyści oraz zagrożenia (plusy i minusy) prowadzenia postępowania w trybie dialogu konkurencyjnego </w:t>
      </w:r>
      <w:r w:rsidRPr="006B07DE">
        <w:rPr>
          <w:rFonts w:ascii="Times New Roman" w:hAnsi="Times New Roman" w:cs="Times New Roman"/>
          <w:sz w:val="24"/>
          <w:szCs w:val="24"/>
        </w:rPr>
        <w:br/>
      </w:r>
      <w:r w:rsidRPr="006B07DE">
        <w:rPr>
          <w:rFonts w:ascii="Times New Roman" w:hAnsi="Times New Roman" w:cs="Times New Roman"/>
          <w:sz w:val="24"/>
          <w:szCs w:val="24"/>
        </w:rPr>
        <w:t>w kontekście terminu realizacji zamówienia określonego na połowę roku 2022.</w:t>
      </w:r>
    </w:p>
    <w:p w:rsidR="006B07DE" w:rsidRPr="006B07DE" w:rsidRDefault="006B07DE">
      <w:pPr>
        <w:rPr>
          <w:sz w:val="24"/>
          <w:szCs w:val="24"/>
        </w:rPr>
      </w:pPr>
    </w:p>
    <w:sectPr w:rsidR="006B07DE" w:rsidRPr="006B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EF9"/>
    <w:multiLevelType w:val="hybridMultilevel"/>
    <w:tmpl w:val="58341F60"/>
    <w:lvl w:ilvl="0" w:tplc="146820C2">
      <w:start w:val="1"/>
      <w:numFmt w:val="decimal"/>
      <w:lvlText w:val="%1."/>
      <w:lvlJc w:val="left"/>
      <w:pPr>
        <w:ind w:left="720" w:hanging="360"/>
      </w:pPr>
    </w:lvl>
    <w:lvl w:ilvl="1" w:tplc="08C602B4">
      <w:start w:val="1"/>
      <w:numFmt w:val="lowerLetter"/>
      <w:lvlText w:val="%2."/>
      <w:lvlJc w:val="left"/>
      <w:pPr>
        <w:ind w:left="1440" w:hanging="360"/>
      </w:pPr>
    </w:lvl>
    <w:lvl w:ilvl="2" w:tplc="F3F0FB22">
      <w:start w:val="1"/>
      <w:numFmt w:val="lowerRoman"/>
      <w:lvlText w:val="%3."/>
      <w:lvlJc w:val="right"/>
      <w:pPr>
        <w:ind w:left="2160" w:hanging="180"/>
      </w:pPr>
    </w:lvl>
    <w:lvl w:ilvl="3" w:tplc="E1145156">
      <w:start w:val="1"/>
      <w:numFmt w:val="decimal"/>
      <w:lvlText w:val="%4."/>
      <w:lvlJc w:val="left"/>
      <w:pPr>
        <w:ind w:left="2880" w:hanging="360"/>
      </w:pPr>
    </w:lvl>
    <w:lvl w:ilvl="4" w:tplc="A000A97A">
      <w:start w:val="1"/>
      <w:numFmt w:val="lowerLetter"/>
      <w:lvlText w:val="%5."/>
      <w:lvlJc w:val="left"/>
      <w:pPr>
        <w:ind w:left="3600" w:hanging="360"/>
      </w:pPr>
    </w:lvl>
    <w:lvl w:ilvl="5" w:tplc="4894D028">
      <w:start w:val="1"/>
      <w:numFmt w:val="lowerRoman"/>
      <w:lvlText w:val="%6."/>
      <w:lvlJc w:val="right"/>
      <w:pPr>
        <w:ind w:left="4320" w:hanging="180"/>
      </w:pPr>
    </w:lvl>
    <w:lvl w:ilvl="6" w:tplc="2F368092">
      <w:start w:val="1"/>
      <w:numFmt w:val="decimal"/>
      <w:lvlText w:val="%7."/>
      <w:lvlJc w:val="left"/>
      <w:pPr>
        <w:ind w:left="5040" w:hanging="360"/>
      </w:pPr>
    </w:lvl>
    <w:lvl w:ilvl="7" w:tplc="ECEA83A2">
      <w:start w:val="1"/>
      <w:numFmt w:val="lowerLetter"/>
      <w:lvlText w:val="%8."/>
      <w:lvlJc w:val="left"/>
      <w:pPr>
        <w:ind w:left="5760" w:hanging="360"/>
      </w:pPr>
    </w:lvl>
    <w:lvl w:ilvl="8" w:tplc="6220F2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E"/>
    <w:rsid w:val="00501B36"/>
    <w:rsid w:val="006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F2FF"/>
  <w15:chartTrackingRefBased/>
  <w15:docId w15:val="{40B75631-3A27-4F4E-8EE0-BF600A6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Kochańska</dc:creator>
  <cp:keywords/>
  <dc:description/>
  <cp:lastModifiedBy>Joanna Kochańska</cp:lastModifiedBy>
  <cp:revision>1</cp:revision>
  <dcterms:created xsi:type="dcterms:W3CDTF">2020-10-05T15:10:00Z</dcterms:created>
  <dcterms:modified xsi:type="dcterms:W3CDTF">2020-10-05T15:12:00Z</dcterms:modified>
</cp:coreProperties>
</file>