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5A" w:rsidRDefault="00E05A5A" w:rsidP="00E05A5A">
      <w:pPr>
        <w:jc w:val="right"/>
      </w:pPr>
      <w:bookmarkStart w:id="0" w:name="_GoBack"/>
      <w:bookmarkEnd w:id="0"/>
      <w:r>
        <w:t xml:space="preserve">Załącznik nr </w:t>
      </w:r>
      <w:r w:rsidR="004A4C00">
        <w:t>1</w:t>
      </w:r>
      <w:r>
        <w:t xml:space="preserve"> do SIWZ</w:t>
      </w:r>
    </w:p>
    <w:p w:rsidR="00E05A5A" w:rsidRDefault="00521B45" w:rsidP="00E05A5A">
      <w:r>
        <w:t xml:space="preserve"> </w:t>
      </w:r>
    </w:p>
    <w:p w:rsidR="00E05A5A" w:rsidRPr="00667694" w:rsidRDefault="00E05A5A" w:rsidP="00521B45">
      <w:pPr>
        <w:jc w:val="center"/>
        <w:rPr>
          <w:b/>
          <w:sz w:val="32"/>
        </w:rPr>
      </w:pPr>
      <w:r w:rsidRPr="00667694">
        <w:rPr>
          <w:b/>
          <w:sz w:val="32"/>
        </w:rPr>
        <w:t>O</w:t>
      </w:r>
      <w:r w:rsidR="004A4C00" w:rsidRPr="00667694">
        <w:rPr>
          <w:b/>
          <w:sz w:val="32"/>
        </w:rPr>
        <w:t>PIS PRZEDMIOTU ZAM</w:t>
      </w:r>
      <w:r w:rsidR="007E2ABD" w:rsidRPr="00667694">
        <w:rPr>
          <w:b/>
          <w:sz w:val="32"/>
        </w:rPr>
        <w:t>Ó</w:t>
      </w:r>
      <w:r w:rsidR="004A4C00" w:rsidRPr="00667694">
        <w:rPr>
          <w:b/>
          <w:sz w:val="32"/>
        </w:rPr>
        <w:t>WIENIA</w:t>
      </w:r>
    </w:p>
    <w:p w:rsidR="00F2135C" w:rsidRPr="00002888" w:rsidRDefault="00EA3D2C" w:rsidP="009075B8">
      <w:pPr>
        <w:spacing w:before="120" w:after="120" w:line="240" w:lineRule="auto"/>
        <w:rPr>
          <w:b/>
        </w:rPr>
      </w:pPr>
      <w:r w:rsidRPr="00002888">
        <w:rPr>
          <w:b/>
        </w:rPr>
        <w:t>E</w:t>
      </w:r>
      <w:r w:rsidR="00002888">
        <w:rPr>
          <w:b/>
        </w:rPr>
        <w:t>kspertyza</w:t>
      </w:r>
      <w:r w:rsidR="000667C7" w:rsidRPr="000667C7">
        <w:rPr>
          <w:b/>
        </w:rPr>
        <w:t xml:space="preserve"> w zakresie określenia rozwiązań poprawiających bezpieczeństwo na skrzyżowaniach linii kolejowych oraz bocznic kolejowych z drogami publicznymi (przejazdach kolejowo-drogowych)</w:t>
      </w:r>
      <w:r w:rsidRPr="00002888">
        <w:rPr>
          <w:b/>
        </w:rPr>
        <w:t>.</w:t>
      </w:r>
    </w:p>
    <w:p w:rsidR="00BF2F86" w:rsidRPr="00B05B9D" w:rsidRDefault="00BF2F86" w:rsidP="000667C7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B05B9D">
        <w:t>Przedmiotem zamówienia jest</w:t>
      </w:r>
      <w:r w:rsidR="00DB4337" w:rsidRPr="00B05B9D">
        <w:t xml:space="preserve"> </w:t>
      </w:r>
      <w:r w:rsidR="00EA3D2C" w:rsidRPr="00EA3D2C">
        <w:t xml:space="preserve">przygotowanie ekspertyzy </w:t>
      </w:r>
      <w:r w:rsidR="000667C7" w:rsidRPr="000667C7">
        <w:t>w zakresie określenia rozwiązań poprawiających bezpieczeństwo na skrzyżowaniach linii kolejowych oraz bocznic kolejowych z drogami publicznymi (przejazdach kolejowo-drogowych)</w:t>
      </w:r>
      <w:r w:rsidR="00DB4337" w:rsidRPr="00B05B9D">
        <w:t>.</w:t>
      </w:r>
    </w:p>
    <w:p w:rsidR="00BF2F86" w:rsidRPr="00F2135C" w:rsidRDefault="00180C68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>
        <w:t>Ekspertyza musi</w:t>
      </w:r>
      <w:r w:rsidR="000667C7">
        <w:t xml:space="preserve"> określać</w:t>
      </w:r>
      <w:r w:rsidR="00FF3058">
        <w:t>:</w:t>
      </w:r>
    </w:p>
    <w:p w:rsidR="000667C7" w:rsidRDefault="000667C7" w:rsidP="000667C7">
      <w:pPr>
        <w:pStyle w:val="Akapitzlist"/>
        <w:numPr>
          <w:ilvl w:val="0"/>
          <w:numId w:val="44"/>
        </w:numPr>
      </w:pPr>
      <w:r>
        <w:t>wytyczne</w:t>
      </w:r>
      <w:r w:rsidRPr="000667C7">
        <w:t xml:space="preserve"> dla zamawiającego (zarządcy infrastruktury) oraz wykonawców modernizacji linii kolejowych dotyczące „dobrych praktyk” przy projektowaniu skrzyżowania dróg linii kolejowych oraz bocznic kolejowych z drogami publicznymi oraz niestandardowych (nieprzewidziany</w:t>
      </w:r>
      <w:r w:rsidR="0060624D">
        <w:t>ch</w:t>
      </w:r>
      <w:r w:rsidRPr="000667C7">
        <w:t xml:space="preserve"> w przepisach) sposobów zabezpieczania przejazdów kolejowo-drogowych podnoszących poziom bezpieczeństwa;</w:t>
      </w:r>
    </w:p>
    <w:p w:rsidR="000667C7" w:rsidRDefault="000667C7" w:rsidP="000667C7">
      <w:pPr>
        <w:pStyle w:val="Akapitzlist"/>
        <w:numPr>
          <w:ilvl w:val="0"/>
          <w:numId w:val="44"/>
        </w:numPr>
      </w:pPr>
      <w:r>
        <w:t>standardy techniczne</w:t>
      </w:r>
      <w:r w:rsidRPr="000667C7">
        <w:t xml:space="preserve"> dla budowli znajdujących się w okolicy modernizowanego przejazdu kolejowo-drogowego, mając na uwadze w szczególności konieczność zachowania trójkątów widoczności oraz propozycje rozwiązań technicznych obniżających hałas, a zastępujących ekrany akustyczne znajdujące się w trójkącie widoczności;</w:t>
      </w:r>
    </w:p>
    <w:p w:rsidR="008331C7" w:rsidRPr="000667C7" w:rsidRDefault="008331C7" w:rsidP="008331C7">
      <w:pPr>
        <w:pStyle w:val="Akapitzlist"/>
        <w:numPr>
          <w:ilvl w:val="0"/>
          <w:numId w:val="44"/>
        </w:numPr>
      </w:pPr>
      <w:r>
        <w:t xml:space="preserve">wpływu podwyższania parametrów linii kolejowych na bezpieczeństwo na przejazdach kolejowo-drogowych w przypadku zachowania dotychczas stosowanych systemów zabezpieczenia przejazdów </w:t>
      </w:r>
      <w:r>
        <w:br/>
        <w:t>(w tym w szczególności zasad komunikacji pomiędzy dyżurnym ruchu i dróżnikiem) oraz braku zmiany parametrów ww. systemów zabezpieczeń (powiązania pomiędzy podwyższaniem parametrów linii kolejowych a zmianą parametrów systemów zabezpieczeń przejazdów kolejowych dla zachowania bezpieczeństwa na ww. przejazdach);</w:t>
      </w:r>
    </w:p>
    <w:p w:rsidR="000667C7" w:rsidRPr="000667C7" w:rsidRDefault="000667C7" w:rsidP="000667C7">
      <w:pPr>
        <w:pStyle w:val="Akapitzlist"/>
        <w:numPr>
          <w:ilvl w:val="0"/>
          <w:numId w:val="44"/>
        </w:numPr>
      </w:pPr>
      <w:r>
        <w:t>propozycje</w:t>
      </w:r>
      <w:r w:rsidRPr="000667C7">
        <w:t xml:space="preserve"> zmian prawnych poprawiających bezpieczeństwo na przejazdach, w tym propozycję systemu podziału kosztów utrzymania przejazdów kolejowo-drogowych wraz z uzasadnieniem;</w:t>
      </w:r>
    </w:p>
    <w:p w:rsidR="000667C7" w:rsidRDefault="000667C7" w:rsidP="000667C7">
      <w:pPr>
        <w:pStyle w:val="Akapitzlist"/>
        <w:numPr>
          <w:ilvl w:val="0"/>
          <w:numId w:val="44"/>
        </w:numPr>
      </w:pPr>
      <w:r>
        <w:t>tymczasowych środków zapobiegających występowaniu zdarzeń kolejowych na przejeździe w sytuacji:</w:t>
      </w:r>
    </w:p>
    <w:p w:rsidR="000667C7" w:rsidRDefault="000667C7" w:rsidP="000667C7">
      <w:pPr>
        <w:pStyle w:val="Akapitzlist"/>
      </w:pPr>
      <w:r>
        <w:t>- gdy jest on modernizowany przez dłuższy czas;</w:t>
      </w:r>
    </w:p>
    <w:p w:rsidR="000667C7" w:rsidRDefault="000667C7" w:rsidP="000667C7">
      <w:pPr>
        <w:pStyle w:val="Akapitzlist"/>
      </w:pPr>
      <w:r>
        <w:t>- gdy obsługa przejazdu jest zawieszona;</w:t>
      </w:r>
    </w:p>
    <w:p w:rsidR="000667C7" w:rsidRPr="000667C7" w:rsidRDefault="000667C7" w:rsidP="000667C7">
      <w:pPr>
        <w:pStyle w:val="Akapitzlist"/>
      </w:pPr>
      <w:r>
        <w:t xml:space="preserve"> - gdy urządzenia zabezpieczenia ruchu na przejeździe nie działają prawidłowo przez dłuższy czas, </w:t>
      </w:r>
      <w:r w:rsidR="00887F43">
        <w:br/>
      </w:r>
      <w:r>
        <w:t>a ruch drogowy w dalszym ciągu odbywa się przez przedmiotowy przejazd.</w:t>
      </w:r>
    </w:p>
    <w:p w:rsidR="00BF2F86" w:rsidRPr="00F2135C" w:rsidRDefault="00BF2F86" w:rsidP="009075B8">
      <w:pPr>
        <w:pStyle w:val="Akapitzlist"/>
        <w:widowControl/>
        <w:numPr>
          <w:ilvl w:val="0"/>
          <w:numId w:val="44"/>
        </w:numPr>
        <w:spacing w:before="120" w:after="120" w:line="240" w:lineRule="auto"/>
        <w:contextualSpacing w:val="0"/>
      </w:pPr>
      <w:r w:rsidRPr="00F2135C">
        <w:t xml:space="preserve">Ekspertyza </w:t>
      </w:r>
      <w:r w:rsidR="000667C7">
        <w:t>musi</w:t>
      </w:r>
      <w:r w:rsidRPr="00F2135C">
        <w:t xml:space="preserve">: </w:t>
      </w:r>
    </w:p>
    <w:p w:rsidR="000667C7" w:rsidRDefault="000667C7" w:rsidP="000667C7">
      <w:pPr>
        <w:widowControl/>
        <w:numPr>
          <w:ilvl w:val="0"/>
          <w:numId w:val="35"/>
        </w:numPr>
        <w:spacing w:before="120" w:after="120" w:line="240" w:lineRule="auto"/>
      </w:pPr>
      <w:r>
        <w:t>opierać się na normach technicznych, wytycznych oraz przepisach europejskich i krajowych, jak również rozwiązaniach przyjętych w innych państwach członkowskich Unii;</w:t>
      </w:r>
    </w:p>
    <w:p w:rsidR="000667C7" w:rsidRPr="000667C7" w:rsidRDefault="000667C7" w:rsidP="000667C7">
      <w:pPr>
        <w:pStyle w:val="Akapitzlist"/>
        <w:numPr>
          <w:ilvl w:val="0"/>
          <w:numId w:val="35"/>
        </w:numPr>
      </w:pPr>
      <w:r w:rsidRPr="000667C7">
        <w:t>zawierać określenie rozwiązań zabezpieczających przejazdy kolejowo-drogowych w sposób szczegółowy, poprzez podanie konkretnych wskazówek dotyczących projektowani</w:t>
      </w:r>
      <w:r>
        <w:t>a przejazdów kolejowo-drogowych;</w:t>
      </w:r>
    </w:p>
    <w:p w:rsidR="000667C7" w:rsidRPr="000667C7" w:rsidRDefault="000667C7" w:rsidP="000667C7">
      <w:pPr>
        <w:pStyle w:val="Akapitzlist"/>
        <w:numPr>
          <w:ilvl w:val="0"/>
          <w:numId w:val="35"/>
        </w:numPr>
      </w:pPr>
      <w:r w:rsidRPr="000667C7">
        <w:t>przedstawiać wykaz wraz z opisem niestandardowych sposobów zabezpieczeń przejazdów przez teren kolejowy, z zachowaniem naj</w:t>
      </w:r>
      <w:r>
        <w:t>wyższego poziomu bezpieczeństwa;</w:t>
      </w:r>
    </w:p>
    <w:p w:rsidR="00EA3D2C" w:rsidRPr="009B6B8B" w:rsidRDefault="000667C7" w:rsidP="000667C7">
      <w:pPr>
        <w:pStyle w:val="Akapitzlist"/>
        <w:numPr>
          <w:ilvl w:val="0"/>
          <w:numId w:val="35"/>
        </w:numPr>
      </w:pPr>
      <w:r>
        <w:t>przedstawiać praktyczne rozwiązania</w:t>
      </w:r>
      <w:r w:rsidRPr="000667C7">
        <w:t xml:space="preserve"> z zakresu: utrzymania, prawidłowej klasyfikacji kategorii przejazdów oraz nadzoru nad stanem technicznym przejazdów kolejowo-drogowych, poprawiających bezpieczeństwo, w tym w szczególności skuteczność działania systemów </w:t>
      </w:r>
      <w:r w:rsidRPr="000667C7">
        <w:lastRenderedPageBreak/>
        <w:t>zabezpieczeń w różnych warunkach atmosferycznych.</w:t>
      </w:r>
    </w:p>
    <w:p w:rsidR="00280F2B" w:rsidRPr="009B6B8B" w:rsidRDefault="00280F2B" w:rsidP="009075B8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9B6B8B">
        <w:t>Wykonawca jest</w:t>
      </w:r>
      <w:r w:rsidR="00372636" w:rsidRPr="009B6B8B">
        <w:t xml:space="preserve"> zobowiązany złożyć w terminie </w:t>
      </w:r>
      <w:r w:rsidR="00F65532">
        <w:t>4</w:t>
      </w:r>
      <w:r w:rsidR="00002DC3" w:rsidRPr="009B6B8B">
        <w:t xml:space="preserve"> </w:t>
      </w:r>
      <w:r w:rsidRPr="009B6B8B">
        <w:t>dni</w:t>
      </w:r>
      <w:r w:rsidR="00625EB8">
        <w:t xml:space="preserve"> </w:t>
      </w:r>
      <w:r w:rsidRPr="009B6B8B">
        <w:t>od podpisania umowy ustrukturyzowany plan, przedstawiający ogólny zakres tematyczny ekspertyzy, proponowane źródła bibliograficzne, sformułowany w</w:t>
      </w:r>
      <w:r w:rsidR="00002DC3" w:rsidRPr="009B6B8B">
        <w:t> </w:t>
      </w:r>
      <w:r w:rsidRPr="009B6B8B">
        <w:t>sposób umożliwiający ocenę rozpoznania zagadnienia przez Wyko</w:t>
      </w:r>
      <w:r w:rsidR="00372636" w:rsidRPr="009B6B8B">
        <w:t xml:space="preserve">nawcę. Zamawiający </w:t>
      </w:r>
      <w:r w:rsidR="004F5B91" w:rsidRPr="009B6B8B">
        <w:t>w </w:t>
      </w:r>
      <w:r w:rsidR="00372636" w:rsidRPr="009B6B8B">
        <w:t xml:space="preserve">terminie </w:t>
      </w:r>
      <w:r w:rsidR="00625EB8">
        <w:t>2</w:t>
      </w:r>
      <w:r w:rsidR="009B6B8B" w:rsidRPr="009B6B8B">
        <w:t> </w:t>
      </w:r>
      <w:r w:rsidRPr="009B6B8B">
        <w:t>dni zaakceptuje plan lub prześle Wykonawcy uwagi do planu.</w:t>
      </w:r>
      <w:r w:rsidR="008B2FB3" w:rsidRPr="009B6B8B">
        <w:t xml:space="preserve"> Wykonawca ma </w:t>
      </w:r>
      <w:r w:rsidR="00985639" w:rsidRPr="009B6B8B">
        <w:t xml:space="preserve">obowiązek naniesienia uwag zamawiającego w terminie </w:t>
      </w:r>
      <w:r w:rsidR="00C37D2C">
        <w:t>2</w:t>
      </w:r>
      <w:r w:rsidR="009B6B8B" w:rsidRPr="009B6B8B">
        <w:t xml:space="preserve"> </w:t>
      </w:r>
      <w:r w:rsidR="00985639" w:rsidRPr="009B6B8B">
        <w:t>dni.</w:t>
      </w:r>
    </w:p>
    <w:p w:rsidR="00251F94" w:rsidRPr="00002DC3" w:rsidRDefault="00251F94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Pierwszy etap realizacji zamówienia obejmuje sporządzenie </w:t>
      </w:r>
      <w:r w:rsidR="00DB4337" w:rsidRPr="00002DC3">
        <w:t xml:space="preserve">projektu </w:t>
      </w:r>
      <w:r w:rsidR="004F6240" w:rsidRPr="00002DC3">
        <w:t>ekspertyzy</w:t>
      </w:r>
      <w:r w:rsidR="00EF57B2" w:rsidRPr="00002DC3">
        <w:t xml:space="preserve"> i przedstawienie </w:t>
      </w:r>
      <w:r w:rsidR="00AC59AE" w:rsidRPr="00002DC3">
        <w:br/>
      </w:r>
      <w:r w:rsidR="00EF57B2" w:rsidRPr="00002DC3">
        <w:t>go Zamawiającemu do akceptacji</w:t>
      </w:r>
      <w:r w:rsidR="004F6240" w:rsidRPr="00002DC3">
        <w:t xml:space="preserve">. </w:t>
      </w:r>
    </w:p>
    <w:p w:rsidR="00B44520" w:rsidRPr="00002DC3" w:rsidRDefault="00251F94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>Niezależnie od etapu</w:t>
      </w:r>
      <w:r w:rsidR="00280B77" w:rsidRPr="00002DC3">
        <w:t xml:space="preserve"> realizacji zamówienia</w:t>
      </w:r>
      <w:r w:rsidR="00865AF5">
        <w:t>,</w:t>
      </w:r>
      <w:r w:rsidR="00A3172A" w:rsidRPr="00002DC3">
        <w:t xml:space="preserve"> </w:t>
      </w:r>
      <w:r w:rsidR="00B44520" w:rsidRPr="00002DC3">
        <w:t>realizacja zamó</w:t>
      </w:r>
      <w:r w:rsidR="00A3172A" w:rsidRPr="00002DC3">
        <w:t>wienia</w:t>
      </w:r>
      <w:r w:rsidR="00B44520" w:rsidRPr="00002DC3">
        <w:t xml:space="preserve"> obejmuje </w:t>
      </w:r>
      <w:r w:rsidR="00A3172A" w:rsidRPr="00002DC3">
        <w:t xml:space="preserve">pomoc ekspercką i </w:t>
      </w:r>
      <w:r w:rsidR="004F6240" w:rsidRPr="00002DC3">
        <w:t>analizę uwag</w:t>
      </w:r>
      <w:r w:rsidR="00280B77" w:rsidRPr="00002DC3">
        <w:t xml:space="preserve"> </w:t>
      </w:r>
      <w:r w:rsidR="00A3172A" w:rsidRPr="00002DC3">
        <w:t xml:space="preserve">zgłoszonych przez </w:t>
      </w:r>
      <w:r w:rsidR="00DB4337" w:rsidRPr="00002DC3">
        <w:t>Zamawiającego</w:t>
      </w:r>
      <w:r w:rsidR="00B44520" w:rsidRPr="00002DC3">
        <w:t xml:space="preserve">. </w:t>
      </w:r>
      <w:r w:rsidR="00DB4337" w:rsidRPr="00002DC3">
        <w:t xml:space="preserve">Uwagi Zamawiającego </w:t>
      </w:r>
      <w:r w:rsidR="00785C81" w:rsidRPr="00002DC3">
        <w:t>mogą być przekazywane na bieżąco.</w:t>
      </w:r>
    </w:p>
    <w:p w:rsidR="00EF57B2" w:rsidRPr="00002DC3" w:rsidRDefault="00B44520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Wykonawca jest zobowiązany do opracowania zestawienia </w:t>
      </w:r>
      <w:r w:rsidR="00280B77" w:rsidRPr="00002DC3">
        <w:t xml:space="preserve">uwag </w:t>
      </w:r>
      <w:r w:rsidRPr="00002DC3">
        <w:t>zgłoszonych</w:t>
      </w:r>
      <w:r w:rsidR="00280B77" w:rsidRPr="00002DC3">
        <w:t xml:space="preserve"> </w:t>
      </w:r>
      <w:r w:rsidR="008B2FB3" w:rsidRPr="00002DC3">
        <w:t>przez Zamawiającego</w:t>
      </w:r>
      <w:r w:rsidRPr="00002DC3">
        <w:t xml:space="preserve">. Zestawienie uwag zostaje opracowane na podstawie materiału przekazanego przez Zamawiającego. </w:t>
      </w:r>
    </w:p>
    <w:p w:rsidR="00EF57B2" w:rsidRPr="00002DC3" w:rsidRDefault="00EF57B2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W ramach zestawienia uwag Wykonawca przedstawia rekomendację co do przyjęcia bądź odrzucenia konkretnej uwagi wraz z uzasadnieniem jej przyjęcia bądź odrzucenia. </w:t>
      </w:r>
    </w:p>
    <w:p w:rsidR="00F2135C" w:rsidRPr="00002DC3" w:rsidRDefault="00F2135C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>W</w:t>
      </w:r>
      <w:r w:rsidR="00741269" w:rsidRPr="00002DC3">
        <w:t> </w:t>
      </w:r>
      <w:r w:rsidRPr="00002DC3">
        <w:t xml:space="preserve">przypadku </w:t>
      </w:r>
      <w:r w:rsidR="004F6240" w:rsidRPr="00002DC3">
        <w:t xml:space="preserve">organizacji przez Zamawiającego spotkania </w:t>
      </w:r>
      <w:r w:rsidR="00E52BD1" w:rsidRPr="00002DC3">
        <w:t xml:space="preserve">dotyczącego zgłoszonych uwag </w:t>
      </w:r>
      <w:r w:rsidRPr="00002DC3">
        <w:t xml:space="preserve">– </w:t>
      </w:r>
      <w:r w:rsidR="002246B1" w:rsidRPr="00002DC3">
        <w:t xml:space="preserve">Wykonawca </w:t>
      </w:r>
      <w:r w:rsidRPr="00002DC3">
        <w:t xml:space="preserve">jest zobowiązany wziąć w nim udział </w:t>
      </w:r>
      <w:r w:rsidR="00E52BD1" w:rsidRPr="00002DC3">
        <w:t>oraz</w:t>
      </w:r>
      <w:r w:rsidRPr="00002DC3">
        <w:t xml:space="preserve"> </w:t>
      </w:r>
      <w:r w:rsidR="004F6240" w:rsidRPr="00002DC3">
        <w:t>uwzględnić ustalenia ze spotkania w zestawieniu uwag</w:t>
      </w:r>
      <w:r w:rsidRPr="00002DC3">
        <w:t>.</w:t>
      </w:r>
    </w:p>
    <w:p w:rsidR="00741269" w:rsidRPr="00002DC3" w:rsidRDefault="001658D1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>Wykonawca</w:t>
      </w:r>
      <w:r w:rsidR="003B4D81">
        <w:t>,</w:t>
      </w:r>
      <w:r w:rsidR="00A3172A" w:rsidRPr="00002DC3">
        <w:t xml:space="preserve"> </w:t>
      </w:r>
      <w:r w:rsidRPr="00002DC3">
        <w:t xml:space="preserve">na podstawie zaakceptowanego przez Zamawiającego zestawienia uwag, </w:t>
      </w:r>
      <w:r w:rsidR="004F6240" w:rsidRPr="00002DC3">
        <w:t>aktualizuje projekt ekspertyzy</w:t>
      </w:r>
      <w:r w:rsidR="00EF57B2" w:rsidRPr="00002DC3">
        <w:t xml:space="preserve"> i przedstawia go Zamawiającemu do akceptacji</w:t>
      </w:r>
      <w:r w:rsidR="00A3172A" w:rsidRPr="00002DC3">
        <w:t>.</w:t>
      </w:r>
    </w:p>
    <w:p w:rsidR="001658D1" w:rsidRPr="009B6B8B" w:rsidRDefault="00427450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9B6B8B">
        <w:t>Realizacja zamówienia odbywa się zgodnie z poniższym harmonogramem</w:t>
      </w:r>
      <w:r w:rsidR="001658D1" w:rsidRPr="009B6B8B">
        <w:t>:</w:t>
      </w:r>
    </w:p>
    <w:p w:rsidR="001658D1" w:rsidRPr="009B6B8B" w:rsidRDefault="001658D1" w:rsidP="0012627A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</w:pPr>
      <w:r w:rsidRPr="009B6B8B">
        <w:t xml:space="preserve">sporządzenie </w:t>
      </w:r>
      <w:r w:rsidR="004F6240" w:rsidRPr="009B6B8B">
        <w:t xml:space="preserve">projektu </w:t>
      </w:r>
      <w:r w:rsidR="00F15AAE" w:rsidRPr="009B6B8B">
        <w:t>ekspertyzy</w:t>
      </w:r>
      <w:r w:rsidR="003B4D81" w:rsidRPr="009B6B8B">
        <w:t xml:space="preserve"> – </w:t>
      </w:r>
      <w:r w:rsidRPr="009B6B8B">
        <w:t>w terminie</w:t>
      </w:r>
      <w:r w:rsidR="009B6B8B" w:rsidRPr="009B6B8B">
        <w:t xml:space="preserve"> </w:t>
      </w:r>
      <w:r w:rsidR="00180C68">
        <w:t>35</w:t>
      </w:r>
      <w:r w:rsidR="00BA697D" w:rsidRPr="009B6B8B">
        <w:t xml:space="preserve"> dni</w:t>
      </w:r>
      <w:r w:rsidR="009B6B8B" w:rsidRPr="009B6B8B">
        <w:t xml:space="preserve"> </w:t>
      </w:r>
      <w:r w:rsidRPr="009B6B8B">
        <w:t xml:space="preserve">od daty </w:t>
      </w:r>
      <w:r w:rsidR="008615C0" w:rsidRPr="009B6B8B">
        <w:t>zaakceptowania przez Zamawiającego ustrukturyzowanego planu przedstawiającego ogólny zakres tematyczny</w:t>
      </w:r>
      <w:r w:rsidRPr="009B6B8B">
        <w:t>;</w:t>
      </w:r>
    </w:p>
    <w:p w:rsidR="001658D1" w:rsidRPr="009B6B8B" w:rsidRDefault="00F15AAE" w:rsidP="0012627A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</w:pPr>
      <w:r w:rsidRPr="009B6B8B">
        <w:t>po przekazaniu projektu przez Wykonawcę</w:t>
      </w:r>
      <w:r w:rsidR="003B4D81" w:rsidRPr="009B6B8B">
        <w:t xml:space="preserve"> – </w:t>
      </w:r>
      <w:r w:rsidRPr="009B6B8B">
        <w:t xml:space="preserve">Zamawiający ma </w:t>
      </w:r>
      <w:r w:rsidR="009B6B8B" w:rsidRPr="009B6B8B">
        <w:t>5</w:t>
      </w:r>
      <w:r w:rsidRPr="009B6B8B">
        <w:t xml:space="preserve"> dni</w:t>
      </w:r>
      <w:r w:rsidR="009B6B8B" w:rsidRPr="009B6B8B">
        <w:t xml:space="preserve"> </w:t>
      </w:r>
      <w:r w:rsidRPr="009B6B8B">
        <w:t>na zgłoszenie ewentualnych uwag do przygotowanego materiału</w:t>
      </w:r>
      <w:r w:rsidR="00544AA7" w:rsidRPr="009B6B8B">
        <w:t>.</w:t>
      </w:r>
      <w:r w:rsidR="00785C81" w:rsidRPr="009B6B8B">
        <w:t xml:space="preserve"> Wykonawca jest zobowiązany do poprawy ekspertyzy w terminie </w:t>
      </w:r>
      <w:r w:rsidR="009B6B8B" w:rsidRPr="009B6B8B">
        <w:t xml:space="preserve">5 </w:t>
      </w:r>
      <w:r w:rsidR="00785C81" w:rsidRPr="009B6B8B">
        <w:t xml:space="preserve">dni </w:t>
      </w:r>
      <w:r w:rsidR="00A640F0">
        <w:br/>
      </w:r>
      <w:r w:rsidR="00785C81" w:rsidRPr="009B6B8B">
        <w:t>od</w:t>
      </w:r>
      <w:r w:rsidR="00544AA7" w:rsidRPr="009B6B8B">
        <w:t xml:space="preserve"> daty</w:t>
      </w:r>
      <w:r w:rsidR="00785C81" w:rsidRPr="009B6B8B">
        <w:t xml:space="preserve"> przekazania uwag </w:t>
      </w:r>
      <w:r w:rsidR="00544AA7" w:rsidRPr="009B6B8B">
        <w:t xml:space="preserve">przez </w:t>
      </w:r>
      <w:r w:rsidR="00785C81" w:rsidRPr="009B6B8B">
        <w:t>Zamawiającego;</w:t>
      </w:r>
    </w:p>
    <w:p w:rsidR="00741269" w:rsidRPr="009B6B8B" w:rsidRDefault="00741269" w:rsidP="0012627A">
      <w:pPr>
        <w:pStyle w:val="Akapitzlist"/>
        <w:numPr>
          <w:ilvl w:val="0"/>
          <w:numId w:val="39"/>
        </w:numPr>
        <w:spacing w:before="120" w:after="120" w:line="240" w:lineRule="auto"/>
        <w:ind w:left="714" w:hanging="357"/>
        <w:contextualSpacing w:val="0"/>
      </w:pPr>
      <w:r w:rsidRPr="009B6B8B">
        <w:t>odebranie przez Zamawiającego ostatecznej wersji ekspertyzy</w:t>
      </w:r>
      <w:r w:rsidR="003B4D81" w:rsidRPr="009B6B8B">
        <w:t xml:space="preserve"> – </w:t>
      </w:r>
      <w:r w:rsidRPr="009B6B8B">
        <w:t>w terminie</w:t>
      </w:r>
      <w:r w:rsidR="00F65532">
        <w:t xml:space="preserve"> 4</w:t>
      </w:r>
      <w:r w:rsidR="00BA697D" w:rsidRPr="009B6B8B">
        <w:t xml:space="preserve"> </w:t>
      </w:r>
      <w:r w:rsidRPr="009B6B8B">
        <w:t>dni od</w:t>
      </w:r>
      <w:r w:rsidR="00427450" w:rsidRPr="009B6B8B">
        <w:t> </w:t>
      </w:r>
      <w:r w:rsidR="00760701" w:rsidRPr="009B6B8B">
        <w:t>przekazania projektu</w:t>
      </w:r>
      <w:r w:rsidRPr="009B6B8B">
        <w:t xml:space="preserve"> przez Wykonawcę; w przypadku zgłoszenia </w:t>
      </w:r>
      <w:r w:rsidR="00C37D2C">
        <w:t xml:space="preserve">dodatkowych </w:t>
      </w:r>
      <w:r w:rsidRPr="009B6B8B">
        <w:t xml:space="preserve">uwag przez Zamawiającego, Wykonawca jest zobowiązany do poprawy ekspertyzy w terminie </w:t>
      </w:r>
      <w:r w:rsidR="00180C68">
        <w:t>3</w:t>
      </w:r>
      <w:r w:rsidRPr="009B6B8B">
        <w:t xml:space="preserve"> dni </w:t>
      </w:r>
      <w:r w:rsidR="00E032DD">
        <w:t>od </w:t>
      </w:r>
      <w:r w:rsidRPr="009B6B8B">
        <w:t xml:space="preserve">przekazania </w:t>
      </w:r>
      <w:r w:rsidR="00544AA7" w:rsidRPr="009B6B8B">
        <w:t xml:space="preserve">ewentualnych </w:t>
      </w:r>
      <w:r w:rsidRPr="009B6B8B">
        <w:t>uwag Zamawiającego.</w:t>
      </w:r>
    </w:p>
    <w:p w:rsidR="00427450" w:rsidRPr="00002DC3" w:rsidRDefault="001179F7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AF4E6E">
        <w:t>W trakcie opracowywania ekspertyzy</w:t>
      </w:r>
      <w:r w:rsidR="00865AF5">
        <w:t>,</w:t>
      </w:r>
      <w:r w:rsidRPr="00AF4E6E">
        <w:t xml:space="preserve"> Wykonawca będzie na bieżąco współpracował z Zamawiającym </w:t>
      </w:r>
      <w:r w:rsidRPr="00AF4E6E">
        <w:br/>
        <w:t>w formie bezpośrednich spotkań, kontaktów te</w:t>
      </w:r>
      <w:r w:rsidR="00A81A9C" w:rsidRPr="00AF4E6E">
        <w:t>lefonicznych</w:t>
      </w:r>
      <w:r w:rsidRPr="00AF4E6E">
        <w:t xml:space="preserve"> i/lub kontaktów e-mailowych. Wersje robocze</w:t>
      </w:r>
      <w:r w:rsidRPr="00002DC3">
        <w:t xml:space="preserve"> ekspertyzy będą przesłane przez Wykonawcę do Zamawiającego za pośrednictwem poczty elektronicznej. Wersje robocze będą przekazywane w formie edytowalnej w terminach uzg</w:t>
      </w:r>
      <w:r w:rsidR="00B05B9D" w:rsidRPr="00002DC3">
        <w:t>odnionych przez Zamawiającego i </w:t>
      </w:r>
      <w:r w:rsidRPr="00002DC3">
        <w:t>Wykonawcę po podpisaniu umowy.</w:t>
      </w:r>
    </w:p>
    <w:p w:rsidR="00427450" w:rsidRPr="00002DC3" w:rsidRDefault="00333BB9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>W sytuacji, gdy w treści ekspertyzy Wykonawca powołuje się na jakieś publikacje czy inne dane</w:t>
      </w:r>
      <w:r w:rsidR="00CD37E4" w:rsidRPr="00002DC3">
        <w:t>, jest on </w:t>
      </w:r>
      <w:r w:rsidRPr="00002DC3">
        <w:t>zobligowany do podania źródeł.</w:t>
      </w:r>
    </w:p>
    <w:p w:rsidR="00427450" w:rsidRPr="00002DC3" w:rsidRDefault="000F03D8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>Dokument należy dostarczyć w wersji papierowej z podpisami autorów, elektronicznej w formacie PDF i</w:t>
      </w:r>
      <w:r w:rsidR="00CB6EFC" w:rsidRPr="00002DC3">
        <w:t> </w:t>
      </w:r>
      <w:r w:rsidRPr="00002DC3">
        <w:t>edytowalnym formacie DOC, na nośniku elektronicznym.</w:t>
      </w:r>
    </w:p>
    <w:p w:rsidR="00C37D2C" w:rsidRDefault="000F03D8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  <w:rPr>
          <w:rStyle w:val="Hipercze"/>
        </w:rPr>
      </w:pPr>
      <w:r w:rsidRPr="00002DC3">
        <w:t xml:space="preserve">Wykonawca oznakuje dokument ekspertyzy zgodnie z wymaganiami w zakresie informacji i promocji Programu Operacyjnego Pomoc Techniczna 2014-2020. Wymogi i materiały dotyczące oznakowania można znaleźć na stronie: </w:t>
      </w:r>
      <w:hyperlink r:id="rId8" w:history="1">
        <w:r w:rsidRPr="00002DC3">
          <w:rPr>
            <w:rStyle w:val="Hipercze"/>
          </w:rPr>
          <w:t>https://www.funduszeeuropejskie.gov.pl/strony/o-funduszach/dokumenty/podrecznik-wnioskodawcy-i-beneficjenta-programow-polityki-spojnosci-2014-2020-w-zakresie-informacji-i-promocji/</w:t>
        </w:r>
      </w:hyperlink>
      <w:r w:rsidRPr="00002DC3">
        <w:t xml:space="preserve"> oraz </w:t>
      </w:r>
      <w:hyperlink r:id="rId9" w:history="1">
        <w:r w:rsidRPr="00002DC3">
          <w:rPr>
            <w:rStyle w:val="Hipercze"/>
          </w:rPr>
          <w:t>https://www.popt.gov.pl/strony/o-programie/promocja-programu/zasady-promocji-i-oznakowania-projektow/</w:t>
        </w:r>
      </w:hyperlink>
    </w:p>
    <w:p w:rsidR="00C37D2C" w:rsidRDefault="00C37D2C">
      <w:pPr>
        <w:widowControl/>
        <w:spacing w:after="200"/>
        <w:jc w:val="left"/>
        <w:rPr>
          <w:rStyle w:val="Hipercze"/>
        </w:rPr>
      </w:pPr>
      <w:r>
        <w:rPr>
          <w:rStyle w:val="Hipercze"/>
        </w:rPr>
        <w:br w:type="page"/>
      </w:r>
    </w:p>
    <w:p w:rsidR="00002888" w:rsidRPr="000528FF" w:rsidRDefault="000F03D8" w:rsidP="00DF0EDB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lastRenderedPageBreak/>
        <w:t xml:space="preserve">Wszelkie prawa majątkowe do wykonanego opracowania zostaną przeniesione na Zamawiającego z chwilą </w:t>
      </w:r>
      <w:r w:rsidR="00DD4A30" w:rsidRPr="00002DC3">
        <w:t>przyjęcia</w:t>
      </w:r>
      <w:r w:rsidR="00776A3E" w:rsidRPr="00002DC3">
        <w:t xml:space="preserve"> przez Zamawiającego</w:t>
      </w:r>
      <w:r w:rsidRPr="00002DC3">
        <w:t xml:space="preserve"> opracowania</w:t>
      </w:r>
      <w:r w:rsidR="005A6313" w:rsidRPr="00002DC3">
        <w:t>, w ramach wynagrodzenia za realizację umowy</w:t>
      </w:r>
      <w:r w:rsidRPr="00002DC3">
        <w:t>. Wykonawca oświadczy, że przysługują mu autorskie prawa majątkowe do wszystkich elementów objętych przedmiotem zamó</w:t>
      </w:r>
      <w:r w:rsidR="00776A3E" w:rsidRPr="00002DC3">
        <w:t>wienia i przeniesie te prawa na </w:t>
      </w:r>
      <w:r w:rsidRPr="00002DC3">
        <w:t>Zamawiającego z</w:t>
      </w:r>
      <w:r w:rsidR="00CB6EFC" w:rsidRPr="00002DC3">
        <w:t> </w:t>
      </w:r>
      <w:r w:rsidRPr="00002DC3">
        <w:t>chwilą odebrania przedmiotu zamówienia. Stosowne postanowienia dot. praw autorskich</w:t>
      </w:r>
      <w:r w:rsidR="003B4D81">
        <w:t xml:space="preserve"> oraz</w:t>
      </w:r>
      <w:r w:rsidRPr="00002DC3">
        <w:t xml:space="preserve"> wykorzystania przedmiotu zamówieni</w:t>
      </w:r>
      <w:r w:rsidR="00B05B9D" w:rsidRPr="00002DC3">
        <w:t>a przez Zamawiającego na </w:t>
      </w:r>
      <w:r w:rsidRPr="00002DC3">
        <w:t>wszelkich polach eksploatacji zostaną zawarte w umowie.</w:t>
      </w:r>
    </w:p>
    <w:sectPr w:rsidR="00002888" w:rsidRPr="000528FF" w:rsidSect="00BA2EA5">
      <w:headerReference w:type="default" r:id="rId10"/>
      <w:footerReference w:type="default" r:id="rId11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16" w:rsidRDefault="00DB4416" w:rsidP="00F62FAB">
      <w:pPr>
        <w:spacing w:after="0" w:line="240" w:lineRule="auto"/>
      </w:pPr>
      <w:r>
        <w:separator/>
      </w:r>
    </w:p>
  </w:endnote>
  <w:endnote w:type="continuationSeparator" w:id="0">
    <w:p w:rsidR="00DB4416" w:rsidRDefault="00DB4416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88" w:rsidRPr="00C033C3" w:rsidRDefault="00291E88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:rsidR="00291E88" w:rsidRPr="00290C0A" w:rsidRDefault="00BA2EA5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87F43">
      <w:rPr>
        <w:sz w:val="16"/>
        <w:szCs w:val="16"/>
      </w:rPr>
      <w:t>Załącznik nr 1 do SIWZ: BAF-</w:t>
    </w:r>
    <w:r w:rsidR="00316DC8" w:rsidRPr="00887F43">
      <w:rPr>
        <w:sz w:val="16"/>
        <w:szCs w:val="16"/>
      </w:rPr>
      <w:t>WZPL.</w:t>
    </w:r>
    <w:r w:rsidRPr="00887F43">
      <w:rPr>
        <w:sz w:val="16"/>
        <w:szCs w:val="16"/>
      </w:rPr>
      <w:t>25</w:t>
    </w:r>
    <w:r w:rsidR="00A640F0" w:rsidRPr="00887F43">
      <w:rPr>
        <w:sz w:val="16"/>
        <w:szCs w:val="16"/>
      </w:rPr>
      <w:t>3.</w:t>
    </w:r>
    <w:r w:rsidR="00887F43">
      <w:rPr>
        <w:sz w:val="16"/>
        <w:szCs w:val="16"/>
      </w:rPr>
      <w:t>20</w:t>
    </w:r>
    <w:r w:rsidR="00316DC8" w:rsidRPr="00887F43">
      <w:rPr>
        <w:sz w:val="16"/>
        <w:szCs w:val="16"/>
      </w:rPr>
      <w:t>.</w:t>
    </w:r>
    <w:r w:rsidRPr="00887F43">
      <w:rPr>
        <w:sz w:val="16"/>
        <w:szCs w:val="16"/>
      </w:rPr>
      <w:t>201</w:t>
    </w:r>
    <w:r w:rsidR="00316DC8" w:rsidRPr="00887F43">
      <w:rPr>
        <w:sz w:val="16"/>
        <w:szCs w:val="16"/>
      </w:rPr>
      <w:t>7</w:t>
    </w:r>
    <w:r w:rsidRPr="00887F43">
      <w:rPr>
        <w:sz w:val="16"/>
        <w:szCs w:val="16"/>
      </w:rPr>
      <w:t xml:space="preserve"> – str. </w:t>
    </w:r>
    <w:r w:rsidR="00291E88" w:rsidRPr="00887F43">
      <w:rPr>
        <w:sz w:val="16"/>
        <w:szCs w:val="16"/>
      </w:rPr>
      <w:fldChar w:fldCharType="begin"/>
    </w:r>
    <w:r w:rsidR="00291E88" w:rsidRPr="00887F43">
      <w:rPr>
        <w:sz w:val="16"/>
        <w:szCs w:val="16"/>
      </w:rPr>
      <w:instrText>PAGE   \* MERGEFORMAT</w:instrText>
    </w:r>
    <w:r w:rsidR="00291E88" w:rsidRPr="00887F43">
      <w:rPr>
        <w:sz w:val="16"/>
        <w:szCs w:val="16"/>
      </w:rPr>
      <w:fldChar w:fldCharType="separate"/>
    </w:r>
    <w:r w:rsidR="00374001">
      <w:rPr>
        <w:noProof/>
        <w:sz w:val="16"/>
        <w:szCs w:val="16"/>
      </w:rPr>
      <w:t>3</w:t>
    </w:r>
    <w:r w:rsidR="00291E88" w:rsidRPr="00887F43">
      <w:rPr>
        <w:sz w:val="16"/>
        <w:szCs w:val="16"/>
      </w:rPr>
      <w:fldChar w:fldCharType="end"/>
    </w:r>
    <w:r w:rsidR="00291E88" w:rsidRPr="00290C0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16" w:rsidRDefault="00DB4416" w:rsidP="00F62FAB">
      <w:pPr>
        <w:spacing w:after="0" w:line="240" w:lineRule="auto"/>
      </w:pPr>
      <w:r>
        <w:separator/>
      </w:r>
    </w:p>
  </w:footnote>
  <w:footnote w:type="continuationSeparator" w:id="0">
    <w:p w:rsidR="00DB4416" w:rsidRDefault="00DB4416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BA2EA5" w:rsidTr="00962C40">
      <w:trPr>
        <w:jc w:val="center"/>
      </w:trPr>
      <w:tc>
        <w:tcPr>
          <w:tcW w:w="2771" w:type="dxa"/>
          <w:vAlign w:val="center"/>
        </w:tcPr>
        <w:p w:rsidR="00BA2EA5" w:rsidRDefault="00BA2EA5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6C336D6" wp14:editId="6A1B8D07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:rsidR="00BA2EA5" w:rsidRDefault="00805AF8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DFE24DA" wp14:editId="59D89AD5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BA2EA5" w:rsidRDefault="00BA2EA5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5B8BCD6" wp14:editId="7B314750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1E88" w:rsidRPr="00F62FAB" w:rsidRDefault="00291E88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A7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90D4686"/>
    <w:multiLevelType w:val="hybridMultilevel"/>
    <w:tmpl w:val="88D8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3D7B"/>
    <w:multiLevelType w:val="hybridMultilevel"/>
    <w:tmpl w:val="A33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6ADA"/>
    <w:multiLevelType w:val="multilevel"/>
    <w:tmpl w:val="1BE218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644E22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D725C2"/>
    <w:multiLevelType w:val="multilevel"/>
    <w:tmpl w:val="874CE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E1B25"/>
    <w:multiLevelType w:val="hybridMultilevel"/>
    <w:tmpl w:val="A194327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40E16"/>
    <w:multiLevelType w:val="hybridMultilevel"/>
    <w:tmpl w:val="A734E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0EE6"/>
    <w:multiLevelType w:val="hybridMultilevel"/>
    <w:tmpl w:val="9E72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F69A7"/>
    <w:multiLevelType w:val="hybridMultilevel"/>
    <w:tmpl w:val="EC088F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7C00153"/>
    <w:multiLevelType w:val="hybridMultilevel"/>
    <w:tmpl w:val="1D0A7EB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5968D7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C84B9C"/>
    <w:multiLevelType w:val="hybridMultilevel"/>
    <w:tmpl w:val="1A42963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6A25"/>
    <w:multiLevelType w:val="hybridMultilevel"/>
    <w:tmpl w:val="A532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DA7"/>
    <w:multiLevelType w:val="hybridMultilevel"/>
    <w:tmpl w:val="1CF43238"/>
    <w:lvl w:ilvl="0" w:tplc="9D9AB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591E19D0"/>
    <w:multiLevelType w:val="hybridMultilevel"/>
    <w:tmpl w:val="1038A512"/>
    <w:lvl w:ilvl="0" w:tplc="C2AA8CA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615B3934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23E03"/>
    <w:multiLevelType w:val="hybridMultilevel"/>
    <w:tmpl w:val="5CA6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27C26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A5617C"/>
    <w:multiLevelType w:val="hybridMultilevel"/>
    <w:tmpl w:val="F4364B02"/>
    <w:lvl w:ilvl="0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8" w15:restartNumberingAfterBreak="0">
    <w:nsid w:val="6E85421A"/>
    <w:multiLevelType w:val="hybridMultilevel"/>
    <w:tmpl w:val="156630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76E03FD7"/>
    <w:multiLevelType w:val="hybridMultilevel"/>
    <w:tmpl w:val="DF9E7270"/>
    <w:lvl w:ilvl="0" w:tplc="C50A8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6525"/>
    <w:multiLevelType w:val="multilevel"/>
    <w:tmpl w:val="7D70B6FE"/>
    <w:lvl w:ilvl="0">
      <w:start w:val="5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EF422E7"/>
    <w:multiLevelType w:val="hybridMultilevel"/>
    <w:tmpl w:val="69BEF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41"/>
  </w:num>
  <w:num w:numId="5">
    <w:abstractNumId w:val="29"/>
  </w:num>
  <w:num w:numId="6">
    <w:abstractNumId w:val="5"/>
  </w:num>
  <w:num w:numId="7">
    <w:abstractNumId w:val="26"/>
  </w:num>
  <w:num w:numId="8">
    <w:abstractNumId w:val="13"/>
  </w:num>
  <w:num w:numId="9">
    <w:abstractNumId w:val="41"/>
  </w:num>
  <w:num w:numId="10">
    <w:abstractNumId w:val="11"/>
  </w:num>
  <w:num w:numId="11">
    <w:abstractNumId w:val="35"/>
  </w:num>
  <w:num w:numId="12">
    <w:abstractNumId w:val="28"/>
  </w:num>
  <w:num w:numId="13">
    <w:abstractNumId w:val="30"/>
  </w:num>
  <w:num w:numId="14">
    <w:abstractNumId w:val="1"/>
  </w:num>
  <w:num w:numId="15">
    <w:abstractNumId w:val="23"/>
  </w:num>
  <w:num w:numId="16">
    <w:abstractNumId w:val="2"/>
  </w:num>
  <w:num w:numId="17">
    <w:abstractNumId w:val="39"/>
  </w:num>
  <w:num w:numId="18">
    <w:abstractNumId w:val="14"/>
  </w:num>
  <w:num w:numId="19">
    <w:abstractNumId w:val="27"/>
  </w:num>
  <w:num w:numId="20">
    <w:abstractNumId w:val="12"/>
  </w:num>
  <w:num w:numId="21">
    <w:abstractNumId w:val="33"/>
  </w:num>
  <w:num w:numId="22">
    <w:abstractNumId w:val="15"/>
  </w:num>
  <w:num w:numId="23">
    <w:abstractNumId w:val="0"/>
  </w:num>
  <w:num w:numId="24">
    <w:abstractNumId w:val="22"/>
  </w:num>
  <w:num w:numId="25">
    <w:abstractNumId w:val="7"/>
  </w:num>
  <w:num w:numId="26">
    <w:abstractNumId w:val="18"/>
  </w:num>
  <w:num w:numId="27">
    <w:abstractNumId w:val="34"/>
  </w:num>
  <w:num w:numId="28">
    <w:abstractNumId w:val="6"/>
  </w:num>
  <w:num w:numId="29">
    <w:abstractNumId w:val="10"/>
  </w:num>
  <w:num w:numId="30">
    <w:abstractNumId w:val="40"/>
  </w:num>
  <w:num w:numId="31">
    <w:abstractNumId w:val="32"/>
  </w:num>
  <w:num w:numId="32">
    <w:abstractNumId w:val="9"/>
  </w:num>
  <w:num w:numId="33">
    <w:abstractNumId w:val="20"/>
  </w:num>
  <w:num w:numId="34">
    <w:abstractNumId w:val="19"/>
  </w:num>
  <w:num w:numId="35">
    <w:abstractNumId w:val="31"/>
  </w:num>
  <w:num w:numId="36">
    <w:abstractNumId w:val="42"/>
  </w:num>
  <w:num w:numId="37">
    <w:abstractNumId w:val="36"/>
  </w:num>
  <w:num w:numId="38">
    <w:abstractNumId w:val="8"/>
  </w:num>
  <w:num w:numId="39">
    <w:abstractNumId w:val="38"/>
  </w:num>
  <w:num w:numId="40">
    <w:abstractNumId w:val="24"/>
  </w:num>
  <w:num w:numId="41">
    <w:abstractNumId w:val="16"/>
  </w:num>
  <w:num w:numId="42">
    <w:abstractNumId w:val="21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0E9D"/>
    <w:rsid w:val="00002888"/>
    <w:rsid w:val="00002DC3"/>
    <w:rsid w:val="000055F5"/>
    <w:rsid w:val="00016EF8"/>
    <w:rsid w:val="00040E37"/>
    <w:rsid w:val="00041502"/>
    <w:rsid w:val="000435E7"/>
    <w:rsid w:val="000528FF"/>
    <w:rsid w:val="00056923"/>
    <w:rsid w:val="000667C7"/>
    <w:rsid w:val="0008673F"/>
    <w:rsid w:val="0009595C"/>
    <w:rsid w:val="000A2551"/>
    <w:rsid w:val="000C22CF"/>
    <w:rsid w:val="000C2BE2"/>
    <w:rsid w:val="000C4462"/>
    <w:rsid w:val="000C4D86"/>
    <w:rsid w:val="000C6771"/>
    <w:rsid w:val="000D1D3B"/>
    <w:rsid w:val="000D568F"/>
    <w:rsid w:val="000D71E6"/>
    <w:rsid w:val="000E1E0A"/>
    <w:rsid w:val="000E20D8"/>
    <w:rsid w:val="000E3DDF"/>
    <w:rsid w:val="000E6A83"/>
    <w:rsid w:val="000F03D8"/>
    <w:rsid w:val="000F26A9"/>
    <w:rsid w:val="000F30D1"/>
    <w:rsid w:val="001028E0"/>
    <w:rsid w:val="00104664"/>
    <w:rsid w:val="0010505D"/>
    <w:rsid w:val="00106563"/>
    <w:rsid w:val="00107607"/>
    <w:rsid w:val="00115855"/>
    <w:rsid w:val="001179F7"/>
    <w:rsid w:val="0012627A"/>
    <w:rsid w:val="0012730F"/>
    <w:rsid w:val="00127953"/>
    <w:rsid w:val="00130752"/>
    <w:rsid w:val="00130B65"/>
    <w:rsid w:val="00145E0D"/>
    <w:rsid w:val="00152B98"/>
    <w:rsid w:val="00162666"/>
    <w:rsid w:val="0016465D"/>
    <w:rsid w:val="00165285"/>
    <w:rsid w:val="00165845"/>
    <w:rsid w:val="001658D1"/>
    <w:rsid w:val="00166D02"/>
    <w:rsid w:val="001742A6"/>
    <w:rsid w:val="001776B3"/>
    <w:rsid w:val="00177B17"/>
    <w:rsid w:val="00180C68"/>
    <w:rsid w:val="00197211"/>
    <w:rsid w:val="001A0297"/>
    <w:rsid w:val="001A3446"/>
    <w:rsid w:val="001B7AED"/>
    <w:rsid w:val="001C0FD6"/>
    <w:rsid w:val="001C3DE8"/>
    <w:rsid w:val="001C5749"/>
    <w:rsid w:val="001C6178"/>
    <w:rsid w:val="001D0C7F"/>
    <w:rsid w:val="001D2FA5"/>
    <w:rsid w:val="001D3C34"/>
    <w:rsid w:val="001E311A"/>
    <w:rsid w:val="002074E2"/>
    <w:rsid w:val="00210142"/>
    <w:rsid w:val="002146AC"/>
    <w:rsid w:val="0022286B"/>
    <w:rsid w:val="002246B1"/>
    <w:rsid w:val="00225CC9"/>
    <w:rsid w:val="00230631"/>
    <w:rsid w:val="00243750"/>
    <w:rsid w:val="00251F94"/>
    <w:rsid w:val="00266632"/>
    <w:rsid w:val="00266D1D"/>
    <w:rsid w:val="00272ED6"/>
    <w:rsid w:val="00273A14"/>
    <w:rsid w:val="00280B77"/>
    <w:rsid w:val="00280F2B"/>
    <w:rsid w:val="00287B5A"/>
    <w:rsid w:val="00290C0A"/>
    <w:rsid w:val="00291E88"/>
    <w:rsid w:val="002C2DD6"/>
    <w:rsid w:val="002D175B"/>
    <w:rsid w:val="002D43B7"/>
    <w:rsid w:val="002E0047"/>
    <w:rsid w:val="002E2BE8"/>
    <w:rsid w:val="002F229E"/>
    <w:rsid w:val="002F34DB"/>
    <w:rsid w:val="00316DC8"/>
    <w:rsid w:val="00322988"/>
    <w:rsid w:val="00323967"/>
    <w:rsid w:val="0033326E"/>
    <w:rsid w:val="00333BB9"/>
    <w:rsid w:val="00333BD2"/>
    <w:rsid w:val="00344C6C"/>
    <w:rsid w:val="00344D5A"/>
    <w:rsid w:val="00352068"/>
    <w:rsid w:val="00352EBD"/>
    <w:rsid w:val="0035605B"/>
    <w:rsid w:val="00356E49"/>
    <w:rsid w:val="0036276E"/>
    <w:rsid w:val="00364987"/>
    <w:rsid w:val="00372636"/>
    <w:rsid w:val="00374001"/>
    <w:rsid w:val="00384BF4"/>
    <w:rsid w:val="003A07EB"/>
    <w:rsid w:val="003A7B66"/>
    <w:rsid w:val="003B36C8"/>
    <w:rsid w:val="003B4D81"/>
    <w:rsid w:val="003C3BD9"/>
    <w:rsid w:val="003C7ABC"/>
    <w:rsid w:val="003D4AB9"/>
    <w:rsid w:val="003E4B6D"/>
    <w:rsid w:val="003E683B"/>
    <w:rsid w:val="00401291"/>
    <w:rsid w:val="004016CD"/>
    <w:rsid w:val="00404A68"/>
    <w:rsid w:val="00411549"/>
    <w:rsid w:val="00414FF9"/>
    <w:rsid w:val="00427450"/>
    <w:rsid w:val="004348DE"/>
    <w:rsid w:val="0043560B"/>
    <w:rsid w:val="00436A93"/>
    <w:rsid w:val="00441F7A"/>
    <w:rsid w:val="00443D02"/>
    <w:rsid w:val="00455D5F"/>
    <w:rsid w:val="00461713"/>
    <w:rsid w:val="00471AC4"/>
    <w:rsid w:val="00482462"/>
    <w:rsid w:val="0049761D"/>
    <w:rsid w:val="004A226B"/>
    <w:rsid w:val="004A4C00"/>
    <w:rsid w:val="004B6378"/>
    <w:rsid w:val="004B6385"/>
    <w:rsid w:val="004C785E"/>
    <w:rsid w:val="004D3580"/>
    <w:rsid w:val="004F0A6D"/>
    <w:rsid w:val="004F5B91"/>
    <w:rsid w:val="004F6240"/>
    <w:rsid w:val="00501C13"/>
    <w:rsid w:val="00517CB6"/>
    <w:rsid w:val="00517F6D"/>
    <w:rsid w:val="00521B45"/>
    <w:rsid w:val="00525D61"/>
    <w:rsid w:val="00532D83"/>
    <w:rsid w:val="005415B2"/>
    <w:rsid w:val="00544AA7"/>
    <w:rsid w:val="0055646C"/>
    <w:rsid w:val="005615CB"/>
    <w:rsid w:val="00585F96"/>
    <w:rsid w:val="0058735E"/>
    <w:rsid w:val="005877A6"/>
    <w:rsid w:val="00595832"/>
    <w:rsid w:val="005A1099"/>
    <w:rsid w:val="005A6313"/>
    <w:rsid w:val="005B5C83"/>
    <w:rsid w:val="005C6541"/>
    <w:rsid w:val="005D3CDE"/>
    <w:rsid w:val="005E6206"/>
    <w:rsid w:val="005F1E47"/>
    <w:rsid w:val="005F6E92"/>
    <w:rsid w:val="00602B53"/>
    <w:rsid w:val="0060624D"/>
    <w:rsid w:val="00612881"/>
    <w:rsid w:val="00617D67"/>
    <w:rsid w:val="00620811"/>
    <w:rsid w:val="00625EB8"/>
    <w:rsid w:val="006301ED"/>
    <w:rsid w:val="00634796"/>
    <w:rsid w:val="00645D59"/>
    <w:rsid w:val="00652988"/>
    <w:rsid w:val="0065427E"/>
    <w:rsid w:val="006567EE"/>
    <w:rsid w:val="0065700F"/>
    <w:rsid w:val="006603A1"/>
    <w:rsid w:val="006634F8"/>
    <w:rsid w:val="0066529C"/>
    <w:rsid w:val="00667694"/>
    <w:rsid w:val="00677BE0"/>
    <w:rsid w:val="00680ECD"/>
    <w:rsid w:val="00690506"/>
    <w:rsid w:val="006A7D69"/>
    <w:rsid w:val="006B4844"/>
    <w:rsid w:val="006C2DC7"/>
    <w:rsid w:val="006C46E6"/>
    <w:rsid w:val="006F4C75"/>
    <w:rsid w:val="0071261A"/>
    <w:rsid w:val="0071410F"/>
    <w:rsid w:val="0071564D"/>
    <w:rsid w:val="007340C6"/>
    <w:rsid w:val="00741269"/>
    <w:rsid w:val="00741C91"/>
    <w:rsid w:val="00744CB3"/>
    <w:rsid w:val="00753933"/>
    <w:rsid w:val="007542AB"/>
    <w:rsid w:val="0075494F"/>
    <w:rsid w:val="00760701"/>
    <w:rsid w:val="007609E1"/>
    <w:rsid w:val="00761364"/>
    <w:rsid w:val="007616A2"/>
    <w:rsid w:val="0076292E"/>
    <w:rsid w:val="007656BD"/>
    <w:rsid w:val="00770B8E"/>
    <w:rsid w:val="00776A3E"/>
    <w:rsid w:val="0078452B"/>
    <w:rsid w:val="00785C81"/>
    <w:rsid w:val="00793BBF"/>
    <w:rsid w:val="007A318F"/>
    <w:rsid w:val="007A4AFD"/>
    <w:rsid w:val="007C2F5A"/>
    <w:rsid w:val="007D278C"/>
    <w:rsid w:val="007D3F94"/>
    <w:rsid w:val="007D4B7D"/>
    <w:rsid w:val="007D66CD"/>
    <w:rsid w:val="007D7100"/>
    <w:rsid w:val="007E2ABD"/>
    <w:rsid w:val="007F4702"/>
    <w:rsid w:val="007F6601"/>
    <w:rsid w:val="00805AF8"/>
    <w:rsid w:val="00805EDF"/>
    <w:rsid w:val="0081448C"/>
    <w:rsid w:val="00822D59"/>
    <w:rsid w:val="00826615"/>
    <w:rsid w:val="008325C8"/>
    <w:rsid w:val="00832FA8"/>
    <w:rsid w:val="008331C7"/>
    <w:rsid w:val="00843D90"/>
    <w:rsid w:val="008615C0"/>
    <w:rsid w:val="00865AF5"/>
    <w:rsid w:val="00882202"/>
    <w:rsid w:val="00887F43"/>
    <w:rsid w:val="00893C6F"/>
    <w:rsid w:val="008A0868"/>
    <w:rsid w:val="008A3587"/>
    <w:rsid w:val="008B1C75"/>
    <w:rsid w:val="008B2FB3"/>
    <w:rsid w:val="008C3C33"/>
    <w:rsid w:val="008C71B3"/>
    <w:rsid w:val="008D675C"/>
    <w:rsid w:val="008D78FD"/>
    <w:rsid w:val="008E0730"/>
    <w:rsid w:val="008F0F5F"/>
    <w:rsid w:val="008F31E2"/>
    <w:rsid w:val="00902DA3"/>
    <w:rsid w:val="00904A36"/>
    <w:rsid w:val="00905181"/>
    <w:rsid w:val="00906667"/>
    <w:rsid w:val="009075B8"/>
    <w:rsid w:val="009266C9"/>
    <w:rsid w:val="00937A41"/>
    <w:rsid w:val="0094200F"/>
    <w:rsid w:val="0095006D"/>
    <w:rsid w:val="00963FE7"/>
    <w:rsid w:val="00966A44"/>
    <w:rsid w:val="00967F2B"/>
    <w:rsid w:val="00985639"/>
    <w:rsid w:val="00992207"/>
    <w:rsid w:val="0099758B"/>
    <w:rsid w:val="009B4D16"/>
    <w:rsid w:val="009B6B8B"/>
    <w:rsid w:val="009D295E"/>
    <w:rsid w:val="009E0D60"/>
    <w:rsid w:val="009E30EB"/>
    <w:rsid w:val="009F6392"/>
    <w:rsid w:val="00A0074D"/>
    <w:rsid w:val="00A013AB"/>
    <w:rsid w:val="00A04E20"/>
    <w:rsid w:val="00A055BD"/>
    <w:rsid w:val="00A170A7"/>
    <w:rsid w:val="00A23F34"/>
    <w:rsid w:val="00A3172A"/>
    <w:rsid w:val="00A33F37"/>
    <w:rsid w:val="00A46EA0"/>
    <w:rsid w:val="00A513A8"/>
    <w:rsid w:val="00A557B4"/>
    <w:rsid w:val="00A56F8E"/>
    <w:rsid w:val="00A63282"/>
    <w:rsid w:val="00A640F0"/>
    <w:rsid w:val="00A81A9C"/>
    <w:rsid w:val="00A91E78"/>
    <w:rsid w:val="00A92D2B"/>
    <w:rsid w:val="00AA2CCD"/>
    <w:rsid w:val="00AB64E9"/>
    <w:rsid w:val="00AB6C92"/>
    <w:rsid w:val="00AB7389"/>
    <w:rsid w:val="00AC59AE"/>
    <w:rsid w:val="00AD329A"/>
    <w:rsid w:val="00AF4E6E"/>
    <w:rsid w:val="00B0180C"/>
    <w:rsid w:val="00B05B9D"/>
    <w:rsid w:val="00B11E42"/>
    <w:rsid w:val="00B12FBC"/>
    <w:rsid w:val="00B13204"/>
    <w:rsid w:val="00B217B2"/>
    <w:rsid w:val="00B21B2C"/>
    <w:rsid w:val="00B22A05"/>
    <w:rsid w:val="00B33378"/>
    <w:rsid w:val="00B439C9"/>
    <w:rsid w:val="00B44520"/>
    <w:rsid w:val="00B44C80"/>
    <w:rsid w:val="00B57DAE"/>
    <w:rsid w:val="00B604ED"/>
    <w:rsid w:val="00B70B4C"/>
    <w:rsid w:val="00B905DD"/>
    <w:rsid w:val="00B91323"/>
    <w:rsid w:val="00B9394B"/>
    <w:rsid w:val="00B95EAD"/>
    <w:rsid w:val="00BA2EA5"/>
    <w:rsid w:val="00BA36E2"/>
    <w:rsid w:val="00BA565E"/>
    <w:rsid w:val="00BA697D"/>
    <w:rsid w:val="00BB636F"/>
    <w:rsid w:val="00BC6789"/>
    <w:rsid w:val="00BE3D1C"/>
    <w:rsid w:val="00BF2F86"/>
    <w:rsid w:val="00BF6474"/>
    <w:rsid w:val="00C01475"/>
    <w:rsid w:val="00C0200F"/>
    <w:rsid w:val="00C033C3"/>
    <w:rsid w:val="00C04E3F"/>
    <w:rsid w:val="00C16676"/>
    <w:rsid w:val="00C21BE7"/>
    <w:rsid w:val="00C37BD1"/>
    <w:rsid w:val="00C37D2C"/>
    <w:rsid w:val="00C4213B"/>
    <w:rsid w:val="00C81D3F"/>
    <w:rsid w:val="00CB0961"/>
    <w:rsid w:val="00CB0A1B"/>
    <w:rsid w:val="00CB67E7"/>
    <w:rsid w:val="00CB6EFC"/>
    <w:rsid w:val="00CB7271"/>
    <w:rsid w:val="00CD37E4"/>
    <w:rsid w:val="00CD3E72"/>
    <w:rsid w:val="00CD705D"/>
    <w:rsid w:val="00CE616D"/>
    <w:rsid w:val="00CF43FA"/>
    <w:rsid w:val="00CF445A"/>
    <w:rsid w:val="00D00FFA"/>
    <w:rsid w:val="00D031D4"/>
    <w:rsid w:val="00D05298"/>
    <w:rsid w:val="00D230C3"/>
    <w:rsid w:val="00D26B5A"/>
    <w:rsid w:val="00D358B5"/>
    <w:rsid w:val="00D3610A"/>
    <w:rsid w:val="00D41692"/>
    <w:rsid w:val="00D44A76"/>
    <w:rsid w:val="00D4729B"/>
    <w:rsid w:val="00D50ABD"/>
    <w:rsid w:val="00D52D77"/>
    <w:rsid w:val="00D57A1F"/>
    <w:rsid w:val="00D7267D"/>
    <w:rsid w:val="00D731DE"/>
    <w:rsid w:val="00D75DDC"/>
    <w:rsid w:val="00D771F1"/>
    <w:rsid w:val="00D939F2"/>
    <w:rsid w:val="00D93B27"/>
    <w:rsid w:val="00D94F44"/>
    <w:rsid w:val="00DA0BB6"/>
    <w:rsid w:val="00DB1426"/>
    <w:rsid w:val="00DB4337"/>
    <w:rsid w:val="00DB4416"/>
    <w:rsid w:val="00DD2BE9"/>
    <w:rsid w:val="00DD4A30"/>
    <w:rsid w:val="00DE311D"/>
    <w:rsid w:val="00DF0EDB"/>
    <w:rsid w:val="00DF5CAD"/>
    <w:rsid w:val="00E00EA0"/>
    <w:rsid w:val="00E01088"/>
    <w:rsid w:val="00E032DD"/>
    <w:rsid w:val="00E03717"/>
    <w:rsid w:val="00E05A5A"/>
    <w:rsid w:val="00E10DB4"/>
    <w:rsid w:val="00E139D5"/>
    <w:rsid w:val="00E36D07"/>
    <w:rsid w:val="00E37E69"/>
    <w:rsid w:val="00E429AF"/>
    <w:rsid w:val="00E5140C"/>
    <w:rsid w:val="00E52BD1"/>
    <w:rsid w:val="00E55BC6"/>
    <w:rsid w:val="00E56224"/>
    <w:rsid w:val="00E57CD0"/>
    <w:rsid w:val="00E65B94"/>
    <w:rsid w:val="00E70994"/>
    <w:rsid w:val="00E73535"/>
    <w:rsid w:val="00E742C0"/>
    <w:rsid w:val="00E81369"/>
    <w:rsid w:val="00E819B9"/>
    <w:rsid w:val="00E825FA"/>
    <w:rsid w:val="00E838E0"/>
    <w:rsid w:val="00E84404"/>
    <w:rsid w:val="00E8581F"/>
    <w:rsid w:val="00E94C46"/>
    <w:rsid w:val="00E94CD1"/>
    <w:rsid w:val="00EA3D2C"/>
    <w:rsid w:val="00EB5AB1"/>
    <w:rsid w:val="00EC1F6E"/>
    <w:rsid w:val="00EC1FCA"/>
    <w:rsid w:val="00EC3CAD"/>
    <w:rsid w:val="00EC45FD"/>
    <w:rsid w:val="00EC4826"/>
    <w:rsid w:val="00EC7F2C"/>
    <w:rsid w:val="00ED1D51"/>
    <w:rsid w:val="00ED28D9"/>
    <w:rsid w:val="00EF03B5"/>
    <w:rsid w:val="00EF57B2"/>
    <w:rsid w:val="00EF7BB1"/>
    <w:rsid w:val="00F02AF8"/>
    <w:rsid w:val="00F15AAE"/>
    <w:rsid w:val="00F2135C"/>
    <w:rsid w:val="00F3620B"/>
    <w:rsid w:val="00F454C7"/>
    <w:rsid w:val="00F54E13"/>
    <w:rsid w:val="00F54F1C"/>
    <w:rsid w:val="00F62935"/>
    <w:rsid w:val="00F62FAB"/>
    <w:rsid w:val="00F65003"/>
    <w:rsid w:val="00F65532"/>
    <w:rsid w:val="00F65AC0"/>
    <w:rsid w:val="00F706B1"/>
    <w:rsid w:val="00F73244"/>
    <w:rsid w:val="00F85A93"/>
    <w:rsid w:val="00F9381C"/>
    <w:rsid w:val="00FA6525"/>
    <w:rsid w:val="00FD3693"/>
    <w:rsid w:val="00FD5200"/>
    <w:rsid w:val="00FE1B6D"/>
    <w:rsid w:val="00FE2D4D"/>
    <w:rsid w:val="00FF305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46F3E-34EB-4A97-8095-1E2097F0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67694"/>
    <w:pPr>
      <w:widowControl/>
      <w:suppressAutoHyphens/>
      <w:autoSpaceDN w:val="0"/>
      <w:spacing w:after="160" w:line="256" w:lineRule="auto"/>
      <w:jc w:val="left"/>
      <w:textAlignment w:val="baseline"/>
    </w:pPr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8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541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541"/>
    <w:rPr>
      <w:rFonts w:ascii="Arial Narrow" w:eastAsia="Calibri" w:hAnsi="Arial Narrow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35C"/>
    <w:pPr>
      <w:widowControl w:val="0"/>
      <w:spacing w:after="0" w:line="240" w:lineRule="auto"/>
      <w:jc w:val="both"/>
    </w:pPr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pt.gov.pl/strony/o-programie/promocja-programu/zasady-promocji-i-oznakowania-projektow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F0C6-C559-4CB6-8B2A-E754CDFC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2017-08-01T12:22:00Z</cp:lastPrinted>
  <dcterms:created xsi:type="dcterms:W3CDTF">2017-10-06T13:30:00Z</dcterms:created>
  <dcterms:modified xsi:type="dcterms:W3CDTF">2017-10-06T13:30:00Z</dcterms:modified>
</cp:coreProperties>
</file>